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76000" cy="3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60"/>
      </w:pPr>
      <w:r>
        <w:rPr>
          <w:b/>
          <w:color w:val="007A6E"/>
          <w:sz w:val="17"/>
        </w:rPr>
        <w:t>QUALITÉ ET CONFORMITÉ  |  FICHE PRATIQUE</w:t>
      </w:r>
    </w:p>
    <w:p>
      <w:pPr>
        <w:pStyle w:val="Heading1"/>
      </w:pPr>
      <w:r>
        <w:t>Préparer l'accès auditeur à une formation FOAD</w:t>
      </w:r>
    </w:p>
    <w:p>
      <w:pPr>
        <w:pBdr>
          <w:bottom w:val="single" w:sz="24" w:space="1" w:color="F497AB"/>
        </w:pBdr>
        <w:ind w:right="8220"/>
      </w:pPr>
    </w:p>
    <w:p>
      <w:r>
        <w:rPr>
          <w:b/>
        </w:rPr>
        <w:t>Outil pratique FormaSwift</w:t>
      </w:r>
      <w:r>
        <w:t xml:space="preserve"> - À compléter par l'organisme. Utilisable quel que soit le LMS, avec adaptation aux fonctionnalités disponibles.</w:t>
      </w:r>
    </w:p>
    <w:p>
      <w:r>
        <w:rPr>
          <w:b/>
        </w:rPr>
        <w:t>Objectif :</w:t>
      </w:r>
      <w:r>
        <w:t xml:space="preserve"> pouvoir présenter à l'auditeur la formation choisie et son environnement pédagogique, sans dépendre d'une improvisation ou d'un accès mal paramétré.</w:t>
      </w:r>
    </w:p>
    <w:p>
      <w:r>
        <w:rPr>
          <w:b/>
        </w:rPr>
        <w:t>Important :</w:t>
      </w:r>
      <w:r>
        <w:t xml:space="preserve"> cette fiche est une recommandation méthodologique ; elle n'est pas un document obligatoire prévu par le guide Qualiopi.</w:t>
      </w:r>
    </w:p>
    <w:p>
      <w:pPr>
        <w:pStyle w:val="Heading2"/>
      </w:pPr>
      <w:r>
        <w:t>A. Identifier le LMS et les interlocuteurs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Information</w:t>
            </w:r>
          </w:p>
        </w:tc>
        <w:tc>
          <w:tcPr>
            <w:tcW w:type="dxa" w:w="481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À renseigner</w:t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r>
              <w:rPr>
                <w:sz w:val="18"/>
              </w:rPr>
            </w:r>
            <w:r>
              <w:rPr>
                <w:sz w:val="18"/>
              </w:rPr>
              <w:t>Organisme / établissement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LMS et URL d'administration</w:t>
            </w:r>
          </w:p>
        </w:tc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r>
              <w:rPr>
                <w:sz w:val="18"/>
              </w:rPr>
            </w:r>
            <w:r>
              <w:rPr>
                <w:sz w:val="18"/>
              </w:rPr>
              <w:t>Formule d'abonnement / contrat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Référent LMS</w:t>
            </w:r>
          </w:p>
        </w:tc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r>
              <w:rPr>
                <w:sz w:val="18"/>
              </w:rPr>
            </w:r>
            <w:r>
              <w:rPr>
                <w:sz w:val="18"/>
              </w:rPr>
              <w:t>Personne pouvant prendre le relais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Contact du support éditeur</w:t>
            </w:r>
          </w:p>
        </w:tc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r>
              <w:rPr>
                <w:sz w:val="18"/>
              </w:rPr>
            </w:r>
            <w:r>
              <w:rPr>
                <w:sz w:val="18"/>
              </w:rPr>
              <w:t>Heures et délais annoncés du support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Date de dernière vérification</w:t>
            </w:r>
          </w:p>
        </w:tc>
        <w:tc>
          <w:tcPr>
            <w:tcW w:type="dxa" w:w="4819"/>
            <w:shd w:val="clear" w:fill="F6F9FA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B. Les questions à poser au fournisseur LMS</w:t>
      </w:r>
    </w:p>
    <w:p>
      <w:r>
        <w:rPr>
          <w:b/>
        </w:rPr>
        <w:t>Accès</w:t>
      </w:r>
    </w:p>
    <w:p>
      <w:pPr>
        <w:ind w:left="340"/>
      </w:pPr>
      <w:r>
        <w:t xml:space="preserve">☐  </w:t>
      </w:r>
      <w:r>
        <w:t>Peut-on créer un accès visiteur, observateur ou un rôle équivalent ?</w:t>
      </w:r>
    </w:p>
    <w:p>
      <w:pPr>
        <w:ind w:left="340"/>
      </w:pPr>
      <w:r>
        <w:t xml:space="preserve">☐  </w:t>
      </w:r>
      <w:r>
        <w:t xml:space="preserve">Cet accès permet-il de consulter </w:t>
      </w:r>
      <w:r>
        <w:rPr>
          <w:b/>
        </w:rPr>
        <w:t>une formation réelle</w:t>
      </w:r>
      <w:r>
        <w:t xml:space="preserve"> et pas seulement une démonstration commerciale ?</w:t>
      </w:r>
    </w:p>
    <w:p>
      <w:pPr>
        <w:ind w:left="340"/>
      </w:pPr>
      <w:r>
        <w:t xml:space="preserve">☐  </w:t>
      </w:r>
      <w:r>
        <w:t>Peut-on sélectionner une session particulière et changer cette sélection rapidement ?</w:t>
      </w:r>
    </w:p>
    <w:p>
      <w:pPr>
        <w:ind w:left="340"/>
      </w:pPr>
      <w:r>
        <w:t xml:space="preserve">☐  </w:t>
      </w:r>
      <w:r>
        <w:t>Les contenus conditionnels, ressources externes, activités et évaluations sont-ils visibles ?</w:t>
      </w:r>
    </w:p>
    <w:p>
      <w:pPr>
        <w:ind w:left="340"/>
      </w:pPr>
      <w:r>
        <w:t xml:space="preserve">☐  </w:t>
      </w:r>
      <w:r>
        <w:t>Peut-on accéder à l'environnement sans simuler de résultats d'apprenant ?</w:t>
      </w:r>
    </w:p>
    <w:p>
      <w:r>
        <w:rPr>
          <w:b/>
        </w:rPr>
        <w:t>Durée</w:t>
      </w:r>
    </w:p>
    <w:p>
      <w:pPr>
        <w:ind w:left="340"/>
      </w:pPr>
      <w:r>
        <w:t xml:space="preserve">☐  </w:t>
      </w:r>
      <w:r>
        <w:t>Quelle est la durée de validité du compte ?</w:t>
      </w:r>
    </w:p>
    <w:p>
      <w:pPr>
        <w:ind w:left="340"/>
      </w:pPr>
      <w:r>
        <w:t xml:space="preserve">☐  </w:t>
      </w:r>
      <w:r>
        <w:t>Le délai commence-t-il à la création, à l'activation ou à la première connexion ?</w:t>
      </w:r>
    </w:p>
    <w:p>
      <w:pPr>
        <w:ind w:left="340"/>
      </w:pPr>
      <w:r>
        <w:t xml:space="preserve">☐  </w:t>
      </w:r>
      <w:r>
        <w:t>Quelle est la durée maximale d'une session de connexion ?</w:t>
      </w:r>
    </w:p>
    <w:p>
      <w:pPr>
        <w:ind w:left="340"/>
      </w:pPr>
      <w:r>
        <w:t xml:space="preserve">☐  </w:t>
      </w:r>
      <w:r>
        <w:t>Quel est le délai de déconnexion pour inactivité ?</w:t>
      </w:r>
    </w:p>
    <w:p>
      <w:pPr>
        <w:ind w:left="340"/>
      </w:pPr>
      <w:r>
        <w:t xml:space="preserve">☐  </w:t>
      </w:r>
      <w:r>
        <w:t>Peut-on renouveler ou prolonger l'accès ? Comment ?</w:t>
      </w:r>
    </w:p>
    <w:p>
      <w:r>
        <w:rPr>
          <w:b/>
        </w:rPr>
        <w:t>Coûts</w:t>
      </w:r>
    </w:p>
    <w:p>
      <w:pPr>
        <w:ind w:left="340"/>
      </w:pPr>
      <w:r>
        <w:t xml:space="preserve">☐  </w:t>
      </w:r>
      <w:r>
        <w:t>L'accès est-il inclus dans l'abonnement ?</w:t>
      </w:r>
    </w:p>
    <w:p>
      <w:pPr>
        <w:ind w:left="340"/>
      </w:pPr>
      <w:r>
        <w:t xml:space="preserve">☐  </w:t>
      </w:r>
      <w:r>
        <w:t>Consomme-t-il une licence, une place apprenant ou un crédit ?</w:t>
      </w:r>
    </w:p>
    <w:p>
      <w:pPr>
        <w:ind w:left="340"/>
      </w:pPr>
      <w:r>
        <w:t xml:space="preserve">☐  </w:t>
      </w:r>
      <w:r>
        <w:t>Existe-t-il des coûts de création, d'extension ou de réactivation ?</w:t>
      </w:r>
    </w:p>
    <w:p>
      <w:r>
        <w:rPr>
          <w:b/>
        </w:rPr>
        <w:t>Droits et protection des données</w:t>
      </w:r>
    </w:p>
    <w:p>
      <w:pPr>
        <w:ind w:left="340"/>
      </w:pPr>
      <w:r>
        <w:t xml:space="preserve">☐  </w:t>
      </w:r>
      <w:r>
        <w:t>Peut-on configurer la consultation seule, sans modification ?</w:t>
      </w:r>
    </w:p>
    <w:p>
      <w:pPr>
        <w:ind w:left="340"/>
      </w:pPr>
      <w:r>
        <w:t xml:space="preserve">☐  </w:t>
      </w:r>
      <w:r>
        <w:t>Peut-on masquer les données personnelles sans lien avec la démonstration ?</w:t>
      </w:r>
    </w:p>
    <w:p>
      <w:pPr>
        <w:ind w:left="340"/>
      </w:pPr>
      <w:r>
        <w:t xml:space="preserve">☐  </w:t>
      </w:r>
      <w:r>
        <w:t>Le compte accède-t-il à des messages privés, résultats nominatifs ou travaux déposés ?</w:t>
      </w:r>
    </w:p>
    <w:p>
      <w:pPr>
        <w:ind w:left="340"/>
      </w:pPr>
      <w:r>
        <w:t xml:space="preserve">☐  </w:t>
      </w:r>
      <w:r>
        <w:t>Comment désactive-t-on ou révoque-t-on l'accès après l'audit ?</w:t>
      </w:r>
    </w:p>
    <w:p>
      <w:r>
        <w:rPr>
          <w:b/>
        </w:rPr>
        <w:t>Autonomie et support</w:t>
      </w:r>
    </w:p>
    <w:p>
      <w:pPr>
        <w:ind w:left="340"/>
      </w:pPr>
      <w:r>
        <w:t xml:space="preserve">☐  </w:t>
      </w:r>
      <w:r>
        <w:t>Qui peut créer ou modifier les droits du compte ?</w:t>
      </w:r>
    </w:p>
    <w:p>
      <w:pPr>
        <w:ind w:left="340"/>
      </w:pPr>
      <w:r>
        <w:t xml:space="preserve">☐  </w:t>
      </w:r>
      <w:r>
        <w:t>Faut-il solliciter l'éditeur ? Quel délai est à prévoir ?</w:t>
      </w:r>
    </w:p>
    <w:p>
      <w:pPr>
        <w:ind w:left="340"/>
      </w:pPr>
      <w:r>
        <w:t xml:space="preserve">☐  </w:t>
      </w:r>
      <w:r>
        <w:t>Une procédure écrite ou un tutoriel officiel existe-t-il ?</w:t>
      </w:r>
    </w:p>
    <w:p>
      <w:r>
        <w:rPr>
          <w:b/>
        </w:rPr>
        <w:t>Réponse de l'éditeur / documentation reçue :</w:t>
      </w:r>
    </w:p>
    <w:p>
      <w:r>
        <w:t>................................................................................</w:t>
      </w:r>
    </w:p>
    <w:p>
      <w:r>
        <w:rPr>
          <w:b/>
        </w:rPr>
        <w:t>Date / interlocuteur / référence :</w:t>
      </w:r>
    </w:p>
    <w:p>
      <w:r>
        <w:t>................................................................................</w:t>
      </w:r>
    </w:p>
    <w:p>
      <w:pPr>
        <w:pStyle w:val="Heading2"/>
      </w:pPr>
      <w:r>
        <w:t>C. Fiche de paramétrage testée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Paramètre</w:t>
            </w:r>
          </w:p>
        </w:tc>
        <w:tc>
          <w:tcPr>
            <w:tcW w:type="dxa" w:w="3213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Réglage constaté / choix validé</w:t>
            </w:r>
          </w:p>
        </w:tc>
        <w:tc>
          <w:tcPr>
            <w:tcW w:type="dxa" w:w="3213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Test OK ?</w:t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Type de compte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Formation ou session autorisée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Date et moment d'activation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Durée de validité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Expiration par inactivité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Renouvellement possible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Contenus visibles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Activités et évaluations visibles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Tableau de suivi / démonstration accompagnée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Messagerie et données nominatives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</w:tcPr>
          <w:p>
            <w:r>
              <w:rPr>
                <w:sz w:val="18"/>
              </w:rPr>
            </w:r>
            <w:r>
              <w:rPr>
                <w:sz w:val="18"/>
              </w:rPr>
              <w:t>Absence de droits de modification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Méthode de révocation</w:t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3213"/>
            <w:shd w:val="clear" w:fill="F6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Ne jamais conserver un mot de passe en clair dans cette fiche.</w:t>
      </w:r>
    </w:p>
    <w:p>
      <w:pPr>
        <w:pStyle w:val="Heading2"/>
      </w:pPr>
      <w:r>
        <w:t>D. Simuler une visite d'audit</w:t>
      </w:r>
    </w:p>
    <w:p>
      <w:r>
        <w:rPr>
          <w:b/>
        </w:rPr>
        <w:t>Date de test :</w:t>
      </w:r>
      <w:r>
        <w:t xml:space="preserve"> ........................................</w:t>
      </w:r>
    </w:p>
    <w:p>
      <w:r>
        <w:rPr>
          <w:b/>
        </w:rPr>
        <w:t>Formation choisie par le faux auditeur :</w:t>
      </w:r>
      <w:r>
        <w:t xml:space="preserve"> ........................................</w:t>
      </w:r>
    </w:p>
    <w:p>
      <w:r>
        <w:rPr>
          <w:b/>
        </w:rPr>
        <w:t>Personne créant l'accès :</w:t>
      </w:r>
      <w:r>
        <w:t xml:space="preserve"> ........................................</w:t>
      </w:r>
    </w:p>
    <w:p>
      <w:r>
        <w:rPr>
          <w:b/>
        </w:rPr>
        <w:t>Personne jouant l'auditeur :</w:t>
      </w:r>
      <w:r>
        <w:t xml:space="preserve"> 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Étape</w:t>
            </w:r>
          </w:p>
        </w:tc>
        <w:tc>
          <w:tcPr>
            <w:tcW w:type="dxa" w:w="240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Vérification à effectuer</w:t>
            </w:r>
          </w:p>
        </w:tc>
        <w:tc>
          <w:tcPr>
            <w:tcW w:type="dxa" w:w="240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Réussi / Partiel / Échec / Non testé</w:t>
            </w:r>
          </w:p>
        </w:tc>
        <w:tc>
          <w:tcPr>
            <w:tcW w:type="dxa" w:w="2409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Observation</w:t>
            </w:r>
          </w:p>
        </w:tc>
      </w:tr>
      <w:tr>
        <w:trPr>
          <w:trHeight w:val="454"/>
        </w:trPr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Retrouver la formation choisie sans préparation particulière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2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Créer ou activer le compte avec les bons droits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Se connecter depuis un autre navigateur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4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Ouvrir les ressources et activités représentatives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Présenter le parcours type et les évaluations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6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Montrer l'assistance et ses délais de réponse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Présenter les modalités de suivi de l'activité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8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Vérifier qu'aucune donnée inutile n'est exposée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  <w:r>
              <w:rPr>
                <w:sz w:val="18"/>
              </w:rPr>
              <w:t>Tester la durée et le renouvellement si nécessaire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10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  <w:r>
              <w:rPr>
                <w:sz w:val="18"/>
              </w:rPr>
              <w:t>Révoquer l'accès à la fin</w:t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  <w:tc>
          <w:tcPr>
            <w:tcW w:type="dxa" w:w="2409"/>
            <w:shd w:val="clear" w:fill="F6F9FA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Durée totale de mise à disposition :</w:t>
      </w:r>
      <w:r>
        <w:t xml:space="preserve"> ........................................</w:t>
      </w:r>
    </w:p>
    <w:p>
      <w:r>
        <w:rPr>
          <w:b/>
        </w:rPr>
        <w:t>Difficulté principale :</w:t>
      </w:r>
      <w:r>
        <w:t xml:space="preserve"> ........................................</w:t>
      </w:r>
    </w:p>
    <w:p>
      <w:r>
        <w:rPr>
          <w:b/>
        </w:rPr>
        <w:t>Solution retenue :</w:t>
      </w:r>
      <w:r>
        <w:t xml:space="preserve"> ........................................</w:t>
      </w:r>
    </w:p>
    <w:p>
      <w:pPr>
        <w:pStyle w:val="Heading3"/>
      </w:pPr>
      <w:r>
        <w:t>Scénarios d'imprévu à tester</w:t>
      </w:r>
    </w:p>
    <w:p>
      <w:pPr>
        <w:ind w:left="340"/>
      </w:pPr>
      <w:r>
        <w:t xml:space="preserve">☐  </w:t>
      </w:r>
      <w:r>
        <w:t>Le référent habituel est absent.</w:t>
      </w:r>
    </w:p>
    <w:p>
      <w:pPr>
        <w:ind w:left="340"/>
      </w:pPr>
      <w:r>
        <w:t xml:space="preserve">☐  </w:t>
      </w:r>
      <w:r>
        <w:t>Le compte expire pendant la consultation.</w:t>
      </w:r>
    </w:p>
    <w:p>
      <w:pPr>
        <w:ind w:left="340"/>
      </w:pPr>
      <w:r>
        <w:t xml:space="preserve">☐  </w:t>
      </w:r>
      <w:r>
        <w:t>L'auditeur choisit une autre session.</w:t>
      </w:r>
    </w:p>
    <w:p>
      <w:pPr>
        <w:ind w:left="340"/>
      </w:pPr>
      <w:r>
        <w:t xml:space="preserve">☐  </w:t>
      </w:r>
      <w:r>
        <w:t>Une activité conditionnelle n'est pas visible.</w:t>
      </w:r>
    </w:p>
    <w:p>
      <w:pPr>
        <w:ind w:left="340"/>
      </w:pPr>
      <w:r>
        <w:t xml:space="preserve">☐  </w:t>
      </w:r>
      <w:r>
        <w:t>Une ressource extérieure demande des droits supplémentaires.</w:t>
      </w:r>
    </w:p>
    <w:p>
      <w:pPr>
        <w:ind w:left="340"/>
      </w:pPr>
      <w:r>
        <w:t xml:space="preserve">☐  </w:t>
      </w:r>
      <w:r>
        <w:t>Des données nominatives apparaissent dans la vue observateur.</w:t>
      </w:r>
    </w:p>
    <w:p>
      <w:pPr>
        <w:ind w:left="340"/>
      </w:pPr>
      <w:r>
        <w:t xml:space="preserve">☐  </w:t>
      </w:r>
      <w:r>
        <w:t>Pour une formation synchrone : la classe virtuelle doit être observée sans perturbation.</w:t>
      </w:r>
    </w:p>
    <w:p>
      <w:pPr>
        <w:pStyle w:val="Heading2"/>
      </w:pPr>
      <w:r>
        <w:t>E. Registre des corrections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Incident constaté</w:t>
            </w:r>
          </w:p>
        </w:tc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Cause identifiée</w:t>
            </w:r>
          </w:p>
        </w:tc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Action retenue</w:t>
            </w:r>
          </w:p>
        </w:tc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Date du nouveau test</w:t>
            </w:r>
          </w:p>
        </w:tc>
        <w:tc>
          <w:tcPr>
            <w:tcW w:type="dxa" w:w="1606"/>
            <w:shd w:val="clear" w:fill="007A6E"/>
          </w:tcPr>
          <w:p>
            <w:r>
              <w:rPr>
                <w:b/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Résultat</w:t>
            </w:r>
          </w:p>
        </w:tc>
      </w:tr>
    </w:tbl>
    <w:p/>
    <w:p>
      <w:pPr>
        <w:pStyle w:val="Heading2"/>
      </w:pPr>
      <w:r>
        <w:t>F. Décision finale de préparation</w:t>
      </w:r>
    </w:p>
    <w:p>
      <w:pPr>
        <w:ind w:left="340"/>
      </w:pPr>
      <w:r>
        <w:t xml:space="preserve">☐  </w:t>
      </w:r>
      <w:r>
        <w:rPr>
          <w:b/>
        </w:rPr>
        <w:t>Prêt</w:t>
      </w:r>
      <w:r>
        <w:t xml:space="preserve"> : accès et présentation testés, droits adaptés, aucune anomalie bloquante.</w:t>
      </w:r>
    </w:p>
    <w:p>
      <w:pPr>
        <w:ind w:left="340"/>
      </w:pPr>
      <w:r>
        <w:t xml:space="preserve">☐  </w:t>
      </w:r>
      <w:r>
        <w:rPr>
          <w:b/>
        </w:rPr>
        <w:t>Prêt avec solution complémentaire</w:t>
      </w:r>
      <w:r>
        <w:t xml:space="preserve"> : certaines fonctions nécessitent une présentation accompagnée, testée et maîtrisée.</w:t>
      </w:r>
    </w:p>
    <w:p>
      <w:pPr>
        <w:ind w:left="340"/>
      </w:pPr>
      <w:r>
        <w:t xml:space="preserve">☐  </w:t>
      </w:r>
      <w:r>
        <w:rPr>
          <w:b/>
        </w:rPr>
        <w:t>À sécuriser</w:t>
      </w:r>
      <w:r>
        <w:t xml:space="preserve"> : accès, droits, durée, coûts ou capacité de démonstration non vérifiés.</w:t>
      </w:r>
    </w:p>
    <w:p>
      <w:r>
        <w:rPr>
          <w:b/>
        </w:rPr>
        <w:t>Décision prise par :</w:t>
      </w:r>
      <w:r>
        <w:t xml:space="preserve"> ........................................</w:t>
      </w:r>
    </w:p>
    <w:p>
      <w:r>
        <w:rPr>
          <w:b/>
        </w:rPr>
        <w:t>Date :</w:t>
      </w:r>
      <w:r>
        <w:t xml:space="preserve"> ........................................</w:t>
      </w:r>
    </w:p>
    <w:p>
      <w:r>
        <w:rPr>
          <w:b/>
        </w:rPr>
        <w:t>Prochain contrôle prévu :</w:t>
      </w:r>
      <w:r>
        <w:t xml:space="preserve"> ........................................</w:t>
      </w:r>
    </w:p>
    <w:p>
      <w:pPr>
        <w:pStyle w:val="Heading3"/>
      </w:pPr>
      <w:r>
        <w:t>Référence et limites</w:t>
      </w:r>
    </w:p>
    <w:p>
      <w:r>
        <w:rPr>
          <w:b/>
        </w:rPr>
        <w:t>Source officielle :</w:t>
      </w:r>
      <w:r>
        <w:t xml:space="preserve"> Ministère chargé du Travail, </w:t>
      </w:r>
      <w:r>
        <w:rPr>
          <w:i/>
        </w:rPr>
        <w:t>Guide de lecture du référentiel national qualité Qualiopi</w:t>
      </w:r>
      <w:r>
        <w:t>, V10 - Novembre 2026, indicateur 17, p. 24.</w:t>
      </w:r>
    </w:p>
    <w:p>
      <w:r>
        <w:t>Cette grille aide à organiser la préparation. Elle ne se substitue ni à l'appréciation de l'auditeur ni aux obligations de protection des données, et ne constitue pas une grille de notation officielle Qualiopi.</w:t>
      </w:r>
    </w:p>
    <w:p>
      <w:r>
        <w:drawing>
          <wp:inline xmlns:a="http://schemas.openxmlformats.org/drawingml/2006/main" xmlns:pic="http://schemas.openxmlformats.org/drawingml/2006/picture">
            <wp:extent cx="3960000" cy="456397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aliopi-v10-indicateur-17-foad-extrai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563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color w:val="65757D"/>
          <w:sz w:val="17"/>
        </w:rPr>
        <w:t>Extrait du Guide de lecture du référentiel national qualité, V10 - Novembre 2026, indicateur 17, p. 24 (ministère chargé du Travail).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5757D"/>
        <w:sz w:val="17"/>
      </w:rPr>
      <w:t xml:space="preserve">© 2026 FormaSwift, www.formaswift.com. Tous droits réservés.   |   Page </w:t>
    </w:r>
    <w:r>
      <w:rPr>
        <w:color w:val="65757D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80"/>
    </w:pPr>
    <w:rPr>
      <w:rFonts w:ascii="Manrope" w:hAnsi="Manrope" w:eastAsia="Manrope"/>
      <w:color w:val="2F3E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anrope" w:hAnsi="Manrope"/>
      <w:b/>
      <w:bCs/>
      <w:color w:val="007A6E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anrope" w:hAnsi="Manrope"/>
      <w:b/>
      <w:bCs/>
      <w:color w:val="007A6E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anrope" w:hAnsi="Manrope"/>
      <w:b/>
      <w:bCs/>
      <w:color w:val="007A6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Préparer l’accès auditeur à une formation FOAD</dc:title>
  <dc:subject/>
  <dc:creator>FormaSwift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