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/>
          <w:b/>
          <w:color w:val="293533"/>
          <w:sz w:val="44"/>
        </w:rPr>
        <w:t>Fiche processus</w:t>
      </w:r>
    </w:p>
    <w:p>
      <w:pPr>
        <w:spacing w:after="100"/>
      </w:pPr>
      <w:r>
        <w:rPr>
          <w:rFonts w:ascii="Arial" w:hAnsi="Arial"/>
          <w:i/>
          <w:color w:val="576D69"/>
          <w:sz w:val="18"/>
        </w:rPr>
        <w:t>Une fiche par processus. Elle décrit le fonctionnement utile à partager : finalité, interfaces, étapes, contrôles et suivi.</w:t>
      </w:r>
    </w:p>
    <w:p>
      <w:pPr>
        <w:pStyle w:val="Heading1"/>
        <w:pBdr>
          <w:bottom w:val="single" w:sz="8" w:space="1" w:color="11999E"/>
        </w:pBdr>
      </w:pPr>
      <w:r>
        <w:t>1.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8"/>
        <w:gridCol w:w="5188"/>
      </w:tblGrid>
      <w:tr>
        <w:trPr>
          <w:cantSplit/>
          <w:trHeight w:val="408" w:hRule="atLeast"/>
        </w:trPr>
        <w:tc>
          <w:tcPr>
            <w:tcW w:type="dxa" w:w="2268"/>
            <w:shd w:fill="EAF6F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93533"/>
                <w:sz w:val="17"/>
              </w:rPr>
              <w:t>Nom du processus</w:t>
            </w:r>
          </w:p>
        </w:tc>
        <w:tc>
          <w:tcPr>
            <w:tcW w:type="dxa" w:w="737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/>
                <w:color w:val="576D69"/>
                <w:sz w:val="16"/>
              </w:rPr>
              <w:t>À compléter.</w:t>
            </w:r>
          </w:p>
        </w:tc>
      </w:tr>
      <w:tr>
        <w:trPr>
          <w:cantSplit/>
          <w:trHeight w:val="408" w:hRule="atLeast"/>
        </w:trPr>
        <w:tc>
          <w:tcPr>
            <w:tcW w:type="dxa" w:w="2268"/>
            <w:shd w:fill="EAF6F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93533"/>
                <w:sz w:val="17"/>
              </w:rPr>
              <w:t>Famille</w:t>
            </w:r>
          </w:p>
        </w:tc>
        <w:tc>
          <w:tcPr>
            <w:tcW w:type="dxa" w:w="737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/>
                <w:color w:val="576D69"/>
                <w:sz w:val="16"/>
              </w:rPr>
              <w:t>Pilotage / Réalisation / Support, ou votre propre classification.</w:t>
            </w:r>
          </w:p>
        </w:tc>
      </w:tr>
      <w:tr>
        <w:trPr>
          <w:cantSplit/>
          <w:trHeight w:val="408" w:hRule="atLeast"/>
        </w:trPr>
        <w:tc>
          <w:tcPr>
            <w:tcW w:type="dxa" w:w="2268"/>
            <w:shd w:fill="EAF6F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93533"/>
                <w:sz w:val="17"/>
              </w:rPr>
              <w:t>Pilote</w:t>
            </w:r>
          </w:p>
        </w:tc>
        <w:tc>
          <w:tcPr>
            <w:tcW w:type="dxa" w:w="737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/>
                <w:color w:val="576D69"/>
                <w:sz w:val="16"/>
              </w:rPr>
              <w:t>Fonction chargée de suivre le processus, de coordonner les acteurs et de porter son amélioration.</w:t>
            </w:r>
          </w:p>
        </w:tc>
      </w:tr>
      <w:tr>
        <w:trPr>
          <w:cantSplit/>
          <w:trHeight w:val="408" w:hRule="atLeast"/>
        </w:trPr>
        <w:tc>
          <w:tcPr>
            <w:tcW w:type="dxa" w:w="2268"/>
            <w:shd w:fill="EAF6F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93533"/>
                <w:sz w:val="17"/>
              </w:rPr>
              <w:t>Finalité</w:t>
            </w:r>
          </w:p>
        </w:tc>
        <w:tc>
          <w:tcPr>
            <w:tcW w:type="dxa" w:w="737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/>
                <w:color w:val="576D69"/>
                <w:sz w:val="16"/>
              </w:rPr>
              <w:t>Résultat attendu du processus, formulé en une phrase.</w:t>
            </w:r>
          </w:p>
        </w:tc>
      </w:tr>
    </w:tbl>
    <w:p>
      <w:pPr>
        <w:pStyle w:val="Heading1"/>
        <w:pBdr>
          <w:bottom w:val="single" w:sz="8" w:space="1" w:color="11999E"/>
        </w:pBdr>
      </w:pPr>
      <w:r>
        <w:t>2. Entrées, sorties et interfaces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8"/>
        <w:gridCol w:w="5188"/>
      </w:tblGrid>
      <w:tr>
        <w:trPr>
          <w:cantSplit/>
          <w:trHeight w:val="386" w:hRule="atLeast"/>
        </w:trPr>
        <w:tc>
          <w:tcPr>
            <w:tcW w:type="dxa" w:w="2268"/>
            <w:shd w:fill="EAF6F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93533"/>
                <w:sz w:val="17"/>
              </w:rPr>
              <w:t>Entrées</w:t>
            </w:r>
          </w:p>
        </w:tc>
        <w:tc>
          <w:tcPr>
            <w:tcW w:type="dxa" w:w="737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/>
                <w:color w:val="576D69"/>
                <w:sz w:val="16"/>
              </w:rPr>
              <w:t>Éléments nécessaires pour démarrer : demande, données, décision, document, événement déclencheur.</w:t>
            </w:r>
          </w:p>
        </w:tc>
      </w:tr>
      <w:tr>
        <w:trPr>
          <w:cantSplit/>
          <w:trHeight w:val="386" w:hRule="atLeast"/>
        </w:trPr>
        <w:tc>
          <w:tcPr>
            <w:tcW w:type="dxa" w:w="2268"/>
            <w:shd w:fill="EAF6F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93533"/>
                <w:sz w:val="17"/>
              </w:rPr>
              <w:t>Sorties</w:t>
            </w:r>
          </w:p>
        </w:tc>
        <w:tc>
          <w:tcPr>
            <w:tcW w:type="dxa" w:w="737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/>
                <w:color w:val="576D69"/>
                <w:sz w:val="16"/>
              </w:rPr>
              <w:t>Résultats produits : documents, décisions, informations, livrables.</w:t>
            </w:r>
          </w:p>
        </w:tc>
      </w:tr>
      <w:tr>
        <w:trPr>
          <w:cantSplit/>
          <w:trHeight w:val="386" w:hRule="atLeast"/>
        </w:trPr>
        <w:tc>
          <w:tcPr>
            <w:tcW w:type="dxa" w:w="2268"/>
            <w:shd w:fill="EAF6F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93533"/>
                <w:sz w:val="17"/>
              </w:rPr>
              <w:t>Processus amont</w:t>
            </w:r>
          </w:p>
        </w:tc>
        <w:tc>
          <w:tcPr>
            <w:tcW w:type="dxa" w:w="737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/>
                <w:color w:val="576D69"/>
                <w:sz w:val="16"/>
              </w:rPr>
              <w:t>Processus ou acteurs qui fournissent les entrées.</w:t>
            </w:r>
          </w:p>
        </w:tc>
      </w:tr>
      <w:tr>
        <w:trPr>
          <w:cantSplit/>
          <w:trHeight w:val="386" w:hRule="atLeast"/>
        </w:trPr>
        <w:tc>
          <w:tcPr>
            <w:tcW w:type="dxa" w:w="2268"/>
            <w:shd w:fill="EAF6F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93533"/>
                <w:sz w:val="17"/>
              </w:rPr>
              <w:t>Processus aval</w:t>
            </w:r>
          </w:p>
        </w:tc>
        <w:tc>
          <w:tcPr>
            <w:tcW w:type="dxa" w:w="737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/>
                <w:color w:val="576D69"/>
                <w:sz w:val="16"/>
              </w:rPr>
              <w:t>Processus ou acteurs qui reçoivent les sorties.</w:t>
            </w:r>
          </w:p>
        </w:tc>
      </w:tr>
    </w:tbl>
    <w:p>
      <w:pPr>
        <w:pStyle w:val="Heading1"/>
        <w:pBdr>
          <w:bottom w:val="single" w:sz="8" w:space="1" w:color="11999E"/>
        </w:pBdr>
      </w:pPr>
      <w:r>
        <w:t>3. Étapes du processus</w:t>
      </w:r>
    </w:p>
    <w:p>
      <w:pPr>
        <w:spacing w:after="60"/>
      </w:pPr>
      <w:r>
        <w:rPr>
          <w:rFonts w:ascii="Arial" w:hAnsi="Arial"/>
          <w:i/>
          <w:color w:val="576D69"/>
          <w:sz w:val="16"/>
        </w:rPr>
        <w:t>Décrire les étapes nécessaires pour comprendre le passage de relais. Garder les modes opératoires détaillés dans des documents séparés si besoin.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5"/>
        <w:gridCol w:w="2075"/>
        <w:gridCol w:w="2075"/>
        <w:gridCol w:w="2075"/>
        <w:gridCol w:w="2075"/>
      </w:tblGrid>
      <w:tr>
        <w:trPr>
          <w:cantSplit/>
          <w:tblHeader w:val="true"/>
        </w:trPr>
        <w:tc>
          <w:tcPr>
            <w:tcW w:type="dxa" w:w="396"/>
            <w:shd w:fill="0D7E82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2551"/>
            <w:shd w:fill="0D7E82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Étape</w:t>
            </w:r>
          </w:p>
        </w:tc>
        <w:tc>
          <w:tcPr>
            <w:tcW w:type="dxa" w:w="1814"/>
            <w:shd w:fill="0D7E82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Responsable(s)</w:t>
            </w:r>
          </w:p>
        </w:tc>
        <w:tc>
          <w:tcPr>
            <w:tcW w:type="dxa" w:w="2608"/>
            <w:shd w:fill="0D7E82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Sortie / preuve</w:t>
            </w:r>
          </w:p>
        </w:tc>
        <w:tc>
          <w:tcPr>
            <w:tcW w:type="dxa" w:w="1474"/>
            <w:shd w:fill="0D7E82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Délai / échéance</w:t>
            </w:r>
          </w:p>
        </w:tc>
      </w:tr>
      <w:tr>
        <w:trPr>
          <w:trHeight w:val="386" w:hRule="atLeast"/>
          <w:cantSplit/>
        </w:trPr>
        <w:tc>
          <w:tcPr>
            <w:tcW w:type="dxa" w:w="39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  <w:t>1</w:t>
            </w:r>
          </w:p>
        </w:tc>
        <w:tc>
          <w:tcPr>
            <w:tcW w:type="dxa" w:w="2551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181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26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147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396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  <w:t>2</w:t>
            </w:r>
          </w:p>
        </w:tc>
        <w:tc>
          <w:tcPr>
            <w:tcW w:type="dxa" w:w="2551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1814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2608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1474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39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  <w:t>3</w:t>
            </w:r>
          </w:p>
        </w:tc>
        <w:tc>
          <w:tcPr>
            <w:tcW w:type="dxa" w:w="2551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181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26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147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396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  <w:t>4</w:t>
            </w:r>
          </w:p>
        </w:tc>
        <w:tc>
          <w:tcPr>
            <w:tcW w:type="dxa" w:w="2551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1814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2608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1474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39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  <w:t>5</w:t>
            </w:r>
          </w:p>
        </w:tc>
        <w:tc>
          <w:tcPr>
            <w:tcW w:type="dxa" w:w="2551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181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26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147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</w:tr>
      <w:tr>
        <w:trPr>
          <w:trHeight w:val="386" w:hRule="atLeast"/>
          <w:cantSplit/>
        </w:trPr>
        <w:tc>
          <w:tcPr>
            <w:tcW w:type="dxa" w:w="396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  <w:t>6</w:t>
            </w:r>
          </w:p>
        </w:tc>
        <w:tc>
          <w:tcPr>
            <w:tcW w:type="dxa" w:w="2551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1814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2608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  <w:tc>
          <w:tcPr>
            <w:tcW w:type="dxa" w:w="1474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576D69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pBdr>
          <w:bottom w:val="single" w:sz="8" w:space="1" w:color="11999E"/>
        </w:pBdr>
      </w:pPr>
      <w:r>
        <w:t>4. Points de contrôle</w:t>
      </w:r>
    </w:p>
    <w:p>
      <w:pPr>
        <w:spacing w:after="60"/>
      </w:pPr>
      <w:r>
        <w:rPr>
          <w:rFonts w:ascii="Arial" w:hAnsi="Arial"/>
          <w:i/>
          <w:color w:val="576D69"/>
          <w:sz w:val="16"/>
        </w:rPr>
        <w:t>Un point de contrôle précise ce qui est vérifié, par qui, selon quel critère et quelle action est prévue en cas d'écart.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5"/>
        <w:gridCol w:w="2075"/>
        <w:gridCol w:w="2075"/>
        <w:gridCol w:w="2075"/>
        <w:gridCol w:w="2075"/>
      </w:tblGrid>
      <w:tr>
        <w:trPr>
          <w:cantSplit/>
          <w:tblHeader w:val="true"/>
        </w:trPr>
        <w:tc>
          <w:tcPr>
            <w:tcW w:type="dxa" w:w="1360"/>
            <w:shd w:fill="0D7E82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Moment</w:t>
            </w:r>
          </w:p>
        </w:tc>
        <w:tc>
          <w:tcPr>
            <w:tcW w:type="dxa" w:w="2494"/>
            <w:shd w:fill="0D7E82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Ce qui est vérifié</w:t>
            </w:r>
          </w:p>
        </w:tc>
        <w:tc>
          <w:tcPr>
            <w:tcW w:type="dxa" w:w="1587"/>
            <w:shd w:fill="0D7E82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Responsable</w:t>
            </w:r>
          </w:p>
        </w:tc>
        <w:tc>
          <w:tcPr>
            <w:tcW w:type="dxa" w:w="1814"/>
            <w:shd w:fill="0D7E82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2154"/>
            <w:shd w:fill="0D7E82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Action si écart</w:t>
            </w:r>
          </w:p>
        </w:tc>
      </w:tr>
      <w:tr>
        <w:trPr>
          <w:trHeight w:val="465" w:hRule="atLeast"/>
          <w:cantSplit/>
        </w:trPr>
        <w:tc>
          <w:tcPr>
            <w:tcW w:type="dxa" w:w="1360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249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1587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181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21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1360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2494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1587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1814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2154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1360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249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1587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181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21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1360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2494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1587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1814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2154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</w:tr>
    </w:tbl>
    <w:p>
      <w:pPr>
        <w:pStyle w:val="Heading1"/>
        <w:pBdr>
          <w:bottom w:val="single" w:sz="8" w:space="1" w:color="11999E"/>
        </w:pBdr>
      </w:pPr>
      <w:r>
        <w:t>5. Indicateurs de suivi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4"/>
        <w:gridCol w:w="2594"/>
        <w:gridCol w:w="2594"/>
        <w:gridCol w:w="2594"/>
      </w:tblGrid>
      <w:tr>
        <w:trPr>
          <w:cantSplit/>
          <w:tblHeader w:val="true"/>
        </w:trPr>
        <w:tc>
          <w:tcPr>
            <w:tcW w:type="dxa" w:w="2835"/>
            <w:shd w:fill="0D7E82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Indicateur</w:t>
            </w:r>
          </w:p>
        </w:tc>
        <w:tc>
          <w:tcPr>
            <w:tcW w:type="dxa" w:w="2835"/>
            <w:shd w:fill="0D7E82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Source de la donnée</w:t>
            </w:r>
          </w:p>
        </w:tc>
        <w:tc>
          <w:tcPr>
            <w:tcW w:type="dxa" w:w="1701"/>
            <w:shd w:fill="0D7E82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Fréquence</w:t>
            </w:r>
          </w:p>
        </w:tc>
        <w:tc>
          <w:tcPr>
            <w:tcW w:type="dxa" w:w="2041"/>
            <w:shd w:fill="0D7E82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Responsable du suivi</w:t>
            </w:r>
          </w:p>
        </w:tc>
      </w:tr>
      <w:tr>
        <w:trPr>
          <w:trHeight w:val="425" w:hRule="atLeast"/>
          <w:cantSplit/>
        </w:trPr>
        <w:tc>
          <w:tcPr>
            <w:tcW w:type="dxa" w:w="283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283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1701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2041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</w:tr>
      <w:tr>
        <w:trPr>
          <w:trHeight w:val="425" w:hRule="atLeast"/>
          <w:cantSplit/>
        </w:trPr>
        <w:tc>
          <w:tcPr>
            <w:tcW w:type="dxa" w:w="2835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2835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1701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2041"/>
            <w:shd w:fill="F7F9F8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</w:tr>
      <w:tr>
        <w:trPr>
          <w:trHeight w:val="425" w:hRule="atLeast"/>
          <w:cantSplit/>
        </w:trPr>
        <w:tc>
          <w:tcPr>
            <w:tcW w:type="dxa" w:w="283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283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1701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  <w:tc>
          <w:tcPr>
            <w:tcW w:type="dxa" w:w="2041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40514E"/>
                <w:sz w:val="16"/>
              </w:rPr>
            </w:r>
          </w:p>
        </w:tc>
      </w:tr>
    </w:tbl>
    <w:p>
      <w:pPr>
        <w:pStyle w:val="Heading1"/>
        <w:pBdr>
          <w:bottom w:val="single" w:sz="8" w:space="1" w:color="11999E"/>
        </w:pBdr>
      </w:pPr>
      <w:r>
        <w:t>6. Révision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88"/>
        <w:gridCol w:w="5188"/>
      </w:tblGrid>
      <w:tr>
        <w:trPr>
          <w:cantSplit/>
          <w:trHeight w:val="386" w:hRule="atLeast"/>
        </w:trPr>
        <w:tc>
          <w:tcPr>
            <w:tcW w:type="dxa" w:w="2268"/>
            <w:shd w:fill="EAF6F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93533"/>
                <w:sz w:val="17"/>
              </w:rPr>
              <w:t>Version</w:t>
            </w:r>
          </w:p>
        </w:tc>
        <w:tc>
          <w:tcPr>
            <w:tcW w:type="dxa" w:w="714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/>
                <w:color w:val="576D69"/>
                <w:sz w:val="16"/>
              </w:rPr>
              <w:t>À compléter.</w:t>
            </w:r>
          </w:p>
        </w:tc>
      </w:tr>
      <w:tr>
        <w:trPr>
          <w:cantSplit/>
          <w:trHeight w:val="386" w:hRule="atLeast"/>
        </w:trPr>
        <w:tc>
          <w:tcPr>
            <w:tcW w:type="dxa" w:w="2268"/>
            <w:shd w:fill="EAF6F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93533"/>
                <w:sz w:val="17"/>
              </w:rPr>
              <w:t>Dernière revue</w:t>
            </w:r>
          </w:p>
        </w:tc>
        <w:tc>
          <w:tcPr>
            <w:tcW w:type="dxa" w:w="714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/>
                <w:color w:val="576D69"/>
                <w:sz w:val="16"/>
              </w:rPr>
              <w:t>Date de la dernière vérification du contenu.</w:t>
            </w:r>
          </w:p>
        </w:tc>
      </w:tr>
      <w:tr>
        <w:trPr>
          <w:cantSplit/>
          <w:trHeight w:val="386" w:hRule="atLeast"/>
        </w:trPr>
        <w:tc>
          <w:tcPr>
            <w:tcW w:type="dxa" w:w="2268"/>
            <w:shd w:fill="EAF6F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93533"/>
                <w:sz w:val="17"/>
              </w:rPr>
              <w:t>Prochaine revue</w:t>
            </w:r>
          </w:p>
        </w:tc>
        <w:tc>
          <w:tcPr>
            <w:tcW w:type="dxa" w:w="714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/>
                <w:color w:val="576D69"/>
                <w:sz w:val="16"/>
              </w:rPr>
              <w:t>Date ou événement déclencheur : changement d'organisation, d'outil, de modalité ou de responsabilité.</w:t>
            </w:r>
          </w:p>
        </w:tc>
      </w:tr>
      <w:tr>
        <w:trPr>
          <w:cantSplit/>
          <w:trHeight w:val="386" w:hRule="atLeast"/>
        </w:trPr>
        <w:tc>
          <w:tcPr>
            <w:tcW w:type="dxa" w:w="2268"/>
            <w:shd w:fill="EAF6F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93533"/>
                <w:sz w:val="17"/>
              </w:rPr>
              <w:t>Modifications</w:t>
            </w:r>
          </w:p>
        </w:tc>
        <w:tc>
          <w:tcPr>
            <w:tcW w:type="dxa" w:w="714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9D7D5"/>
              <w:left w:val="single" w:sz="4" w:color="C9D7D5"/>
              <w:bottom w:val="single" w:sz="4" w:color="C9D7D5"/>
              <w:right w:val="single" w:sz="4" w:color="C9D7D5"/>
              <w:insideH w:val="single" w:sz="4" w:color="C9D7D5"/>
              <w:insideV w:val="single" w:sz="4" w:color="C9D7D5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/>
                <w:color w:val="576D69"/>
                <w:sz w:val="16"/>
              </w:rPr>
              <w:t>Principales évolutions depuis la version précédente.</w:t>
            </w:r>
          </w:p>
        </w:tc>
      </w:tr>
    </w:tbl>
    <w:p>
      <w:pPr>
        <w:spacing w:before="140" w:after="0"/>
      </w:pPr>
      <w:r>
        <w:rPr>
          <w:rFonts w:ascii="Arial" w:hAnsi="Arial"/>
          <w:i/>
          <w:color w:val="576D69"/>
          <w:sz w:val="16"/>
        </w:rPr>
        <w:t>Repère : ce modèle n'est pas un document imposé par le référentiel national qualité. Il sert d'abord à partager un fonctionnement clair et à maintenir une version à jour du processus.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765" w:bottom="652" w:left="76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76D69"/>
        <w:sz w:val="16"/>
      </w:rPr>
      <w:t>FormaSwift - formaswift.com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0D7E82"/>
        <w:sz w:val="16"/>
      </w:rPr>
      <w:t>FORMASWIFT  |  OUTIL PRATIQUE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color w:val="40514E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D7E82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9353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9353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processus - modèle FormaSwift</dc:title>
  <dc:subject>Modèle de fiche processus pour organisme de formation</dc:subject>
  <dc:creator>FormaSwift</dc:creator>
  <cp:keywords>processus, cartographie, organisme de formation, qualité, Qualiopi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