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after="80"/>
        <w:jc w:val="left"/>
      </w:pPr>
      <w:r>
        <w:rPr>
          <w:rFonts w:ascii="Noto Sans" w:hAnsi="Noto Sans"/>
          <w:sz w:val="21"/>
        </w:rPr>
        <w:t>Trame d'information-consultation du CSE sur la mise en place du télétravail</w:t>
      </w:r>
    </w:p>
    <w:p>
      <w:pPr>
        <w:pStyle w:val="Heading2"/>
      </w:pPr>
      <w:r>
        <w:rPr>
          <w:rFonts w:ascii="Noto Sans" w:hAnsi="Noto Sans"/>
          <w:sz w:val="21"/>
        </w:rPr>
        <w:t>Branche des organismes de formation - IDCC 1516</w:t>
      </w:r>
    </w:p>
    <w:p>
      <w:pPr>
        <w:keepLines w:val="0"/>
      </w:pPr>
      <w:r>
        <w:rPr>
          <w:b/>
          <w:color w:val="17324D"/>
        </w:rPr>
        <w:t>Version du modèle :</w:t>
      </w:r>
      <w:r>
        <w:t xml:space="preserve"> 1.2</w:t>
      </w:r>
    </w:p>
    <w:p>
      <w:pPr>
        <w:keepLines w:val="0"/>
      </w:pPr>
      <w:r>
        <w:rPr>
          <w:rFonts w:ascii="Noto Sans" w:hAnsi="Noto Sans"/>
          <w:sz w:val="21"/>
        </w:rPr>
        <w:t>Dernière vérification juridique : 11 septembre 2026</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Modèle FormaSwift à adapter à la situation de l'entreprise, à son effectif, à l'existence éventuelle d'un accord collectif et à la nature exacte du projet. Cette trame est particulièrement adaptée lorsqu'un employeur envisage d'adopter une charte télétravail. L'article L. 1222-9 du Code du travail prévoit que la charte est élaborée après avis du CSE, s'il existe. L'accord de branche IDCC 1516 prévoit également qu'à défaut d'accord d'entreprise, le CSE, lorsqu'il existe, est consulté sur les décisions de l'employeur relatives à l'organisation du travail ayant un impact sur la marche générale de l'entreprise, dont les conditions de mise en oeuvre du télétravail. Pour un recours ponctuel à des accords individuels sans dispositif collectif, apprécier la nécessité d'une consultation au regard de la portée réelle du projet sur l'organisation du travail. Cette trame ne doit pas être utilisée pour créer artificiellement une obligation de consultation qui ne résulterait pas de la situation de l'entreprise.</w:t>
            </w:r>
          </w:p>
        </w:tc>
      </w:tr>
    </w:tbl>
    <w:p>
      <w:pPr>
        <w:spacing w:after="20"/>
      </w:pPr>
    </w:p>
    <w:p>
      <w:pPr>
        <w:spacing w:before="40" w:after="80"/>
        <w:pBdr>
          <w:bottom w:val="single" w:sz="4" w:color="D7E2E6"/>
        </w:pBdr>
      </w:pPr>
    </w:p>
    <w:p>
      <w:pPr>
        <w:pStyle w:val="Heading1"/>
      </w:pPr>
      <w:r>
        <w:rPr>
          <w:rFonts w:ascii="Noto Sans" w:hAnsi="Noto Sans"/>
          <w:sz w:val="21"/>
        </w:rPr>
        <w:t>1. Identification de la consultation</w:t>
      </w:r>
    </w:p>
    <w:p>
      <w:pPr>
        <w:keepLines w:val="0"/>
      </w:pPr>
      <w:r>
        <w:rPr>
          <w:rFonts w:ascii="Noto Sans" w:hAnsi="Noto Sans"/>
          <w:b/>
          <w:color w:val="17324D"/>
          <w:sz w:val="21"/>
        </w:rPr>
        <w:t>Organisme :</w:t>
      </w:r>
      <w:r>
        <w:rPr>
          <w:rFonts w:ascii="Noto Sans" w:hAnsi="Noto Sans"/>
          <w:sz w:val="21"/>
        </w:rPr>
        <w:t xml:space="preserve"> </w:t>
      </w:r>
      <w:r>
        <w:rPr>
          <w:rFonts w:ascii="Noto Sans" w:hAnsi="Noto Sans"/>
          <w:b/>
          <w:color w:val="7A5A00"/>
          <w:sz w:val="20"/>
          <w:shd w:fill="FFF6D8"/>
        </w:rPr>
        <w:t>[Nom]</w:t>
      </w:r>
    </w:p>
    <w:p>
      <w:pPr>
        <w:keepLines w:val="0"/>
      </w:pPr>
      <w:r>
        <w:rPr>
          <w:rFonts w:ascii="Noto Sans" w:hAnsi="Noto Sans"/>
          <w:b/>
          <w:color w:val="17324D"/>
          <w:sz w:val="21"/>
        </w:rPr>
        <w:t>SIRET :</w:t>
      </w:r>
      <w:r>
        <w:rPr>
          <w:rFonts w:ascii="Noto Sans" w:hAnsi="Noto Sans"/>
          <w:sz w:val="21"/>
        </w:rPr>
        <w:t xml:space="preserve"> </w:t>
      </w:r>
      <w:r>
        <w:rPr>
          <w:rFonts w:ascii="Noto Sans" w:hAnsi="Noto Sans"/>
          <w:b/>
          <w:color w:val="7A5A00"/>
          <w:sz w:val="20"/>
          <w:shd w:fill="FFF6D8"/>
        </w:rPr>
        <w:t>[SIRET]</w:t>
      </w:r>
    </w:p>
    <w:p>
      <w:pPr>
        <w:keepLines w:val="0"/>
      </w:pPr>
      <w:r>
        <w:rPr>
          <w:rFonts w:ascii="Noto Sans" w:hAnsi="Noto Sans"/>
          <w:b/>
          <w:color w:val="17324D"/>
          <w:sz w:val="21"/>
        </w:rPr>
        <w:t>Effectif :</w:t>
      </w:r>
      <w:r>
        <w:rPr>
          <w:rFonts w:ascii="Noto Sans" w:hAnsi="Noto Sans"/>
          <w:sz w:val="21"/>
        </w:rPr>
        <w:t xml:space="preserve"> </w:t>
      </w:r>
      <w:r>
        <w:rPr>
          <w:rFonts w:ascii="Noto Sans" w:hAnsi="Noto Sans"/>
          <w:b/>
          <w:color w:val="7A5A00"/>
          <w:sz w:val="20"/>
          <w:shd w:fill="FFF6D8"/>
        </w:rPr>
        <w:t>[effectif]</w:t>
      </w:r>
    </w:p>
    <w:p>
      <w:pPr>
        <w:keepLines w:val="0"/>
      </w:pPr>
      <w:r>
        <w:rPr>
          <w:rFonts w:ascii="Noto Sans" w:hAnsi="Noto Sans"/>
          <w:b/>
          <w:color w:val="17324D"/>
          <w:sz w:val="21"/>
        </w:rPr>
        <w:t>Date de la réunion :</w:t>
      </w:r>
      <w:r>
        <w:rPr>
          <w:rFonts w:ascii="Noto Sans" w:hAnsi="Noto Sans"/>
          <w:sz w:val="21"/>
        </w:rPr>
        <w:t xml:space="preserve"> </w:t>
      </w:r>
      <w:r>
        <w:rPr>
          <w:rFonts w:ascii="Noto Sans" w:hAnsi="Noto Sans"/>
          <w:b/>
          <w:color w:val="7A5A00"/>
          <w:sz w:val="20"/>
          <w:shd w:fill="FFF6D8"/>
        </w:rPr>
        <w:t>[date]</w:t>
      </w:r>
    </w:p>
    <w:p>
      <w:pPr>
        <w:keepLines w:val="0"/>
      </w:pPr>
      <w:r>
        <w:rPr>
          <w:rFonts w:ascii="Noto Sans" w:hAnsi="Noto Sans"/>
          <w:b/>
          <w:color w:val="17324D"/>
          <w:sz w:val="21"/>
        </w:rPr>
        <w:t>Instance :</w:t>
      </w:r>
      <w:r>
        <w:rPr>
          <w:rFonts w:ascii="Noto Sans" w:hAnsi="Noto Sans"/>
          <w:sz w:val="21"/>
        </w:rPr>
        <w:t xml:space="preserve"> Comité social et économique</w:t>
      </w:r>
    </w:p>
    <w:p>
      <w:pPr>
        <w:keepLines w:val="0"/>
      </w:pPr>
      <w:r>
        <w:rPr>
          <w:rFonts w:ascii="Noto Sans" w:hAnsi="Noto Sans"/>
          <w:b/>
          <w:color w:val="17324D"/>
          <w:sz w:val="21"/>
        </w:rPr>
        <w:t>Nature du projet :</w:t>
      </w:r>
    </w:p>
    <w:p>
      <w:pPr>
        <w:pStyle w:val="ListBullet"/>
        <w:ind w:left="283"/>
      </w:pPr>
      <w:r>
        <w:rPr>
          <w:rFonts w:ascii="Noto Sans" w:hAnsi="Noto Sans"/>
          <w:b/>
          <w:color w:val="1F9E9A"/>
          <w:sz w:val="21"/>
        </w:rPr>
        <w:t xml:space="preserve">☐ </w:t>
      </w:r>
      <w:r>
        <w:rPr>
          <w:rFonts w:ascii="Noto Sans" w:hAnsi="Noto Sans"/>
          <w:sz w:val="21"/>
        </w:rPr>
        <w:t>Adoption d'une charte télétravail</w:t>
      </w:r>
    </w:p>
    <w:p>
      <w:pPr>
        <w:pStyle w:val="ListBullet"/>
        <w:ind w:left="283"/>
      </w:pPr>
      <w:r>
        <w:rPr>
          <w:rFonts w:ascii="Noto Sans" w:hAnsi="Noto Sans"/>
          <w:b/>
          <w:color w:val="1F9E9A"/>
          <w:sz w:val="21"/>
        </w:rPr>
        <w:t xml:space="preserve">☐ </w:t>
      </w:r>
      <w:r>
        <w:rPr>
          <w:rFonts w:ascii="Noto Sans" w:hAnsi="Noto Sans"/>
          <w:sz w:val="21"/>
        </w:rPr>
        <w:t>Révision d'une charte existante</w:t>
      </w:r>
    </w:p>
    <w:p>
      <w:pPr>
        <w:pStyle w:val="ListBullet"/>
        <w:ind w:left="283"/>
      </w:pPr>
      <w:r>
        <w:rPr>
          <w:rFonts w:ascii="Noto Sans" w:hAnsi="Noto Sans"/>
          <w:b/>
          <w:color w:val="1F9E9A"/>
          <w:sz w:val="21"/>
        </w:rPr>
        <w:t xml:space="preserve">☐ </w:t>
      </w:r>
      <w:r>
        <w:rPr>
          <w:rFonts w:ascii="Noto Sans" w:hAnsi="Noto Sans"/>
          <w:sz w:val="21"/>
        </w:rPr>
        <w:t>Modification générale de l'organisation du télétravail</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keepLines w:val="0"/>
      </w:pPr>
      <w:r>
        <w:rPr>
          <w:rFonts w:ascii="Noto Sans" w:hAnsi="Noto Sans"/>
          <w:b/>
          <w:color w:val="17324D"/>
          <w:sz w:val="21"/>
        </w:rPr>
        <w:t>Date prévisionnelle de mise en oeuvre :</w:t>
      </w:r>
      <w:r>
        <w:rPr>
          <w:rFonts w:ascii="Noto Sans" w:hAnsi="Noto Sans"/>
          <w:sz w:val="21"/>
        </w:rPr>
        <w:t xml:space="preserve"> </w:t>
      </w:r>
      <w:r>
        <w:rPr>
          <w:rFonts w:ascii="Noto Sans" w:hAnsi="Noto Sans"/>
          <w:b/>
          <w:color w:val="7A5A00"/>
          <w:sz w:val="20"/>
          <w:shd w:fill="FFF6D8"/>
        </w:rPr>
        <w:t>[date]</w:t>
      </w:r>
    </w:p>
    <w:p>
      <w:pPr>
        <w:spacing w:before="40" w:after="80"/>
        <w:pBdr>
          <w:bottom w:val="single" w:sz="4" w:color="D7E2E6"/>
        </w:pBdr>
      </w:pPr>
    </w:p>
    <w:p>
      <w:pPr>
        <w:pStyle w:val="Heading1"/>
      </w:pPr>
      <w:r>
        <w:rPr>
          <w:rFonts w:ascii="Noto Sans" w:hAnsi="Noto Sans"/>
          <w:sz w:val="21"/>
        </w:rPr>
        <w:t>2. Objet de la consultation</w:t>
      </w:r>
    </w:p>
    <w:p>
      <w:pPr>
        <w:keepLines w:val="0"/>
      </w:pPr>
      <w:r>
        <w:rPr>
          <w:rFonts w:ascii="Noto Sans" w:hAnsi="Noto Sans"/>
          <w:sz w:val="21"/>
        </w:rPr>
        <w:t>L'employeur présente au CSE le projet relatif à la mise en place ou à l'évolution du télétravail au sein de l'entreprise.</w:t>
      </w:r>
    </w:p>
    <w:p>
      <w:pPr>
        <w:keepLines w:val="0"/>
      </w:pPr>
      <w:r>
        <w:rPr>
          <w:rFonts w:ascii="Noto Sans" w:hAnsi="Noto Sans"/>
          <w:sz w:val="21"/>
        </w:rPr>
        <w:t>Le projet est examiné notamment au regard :</w:t>
      </w:r>
    </w:p>
    <w:p>
      <w:pPr>
        <w:pStyle w:val="ListBullet"/>
      </w:pPr>
      <w:r>
        <w:rPr>
          <w:rFonts w:ascii="Noto Sans" w:hAnsi="Noto Sans"/>
          <w:sz w:val="21"/>
        </w:rPr>
        <w:t>des articles L. 1222-9 à L. 1222-11 du Code du travail ;</w:t>
      </w:r>
    </w:p>
    <w:p>
      <w:pPr>
        <w:pStyle w:val="ListBullet"/>
      </w:pPr>
      <w:r>
        <w:rPr>
          <w:rFonts w:ascii="Noto Sans" w:hAnsi="Noto Sans"/>
          <w:sz w:val="21"/>
        </w:rPr>
        <w:t>de l'accord du 11 septembre 2024 relatif au télétravail dans la branche des organismes de formation - IDCC 1516, étendu par arrêté du 8 janvier 2026 ;</w:t>
      </w:r>
    </w:p>
    <w:p>
      <w:pPr>
        <w:pStyle w:val="ListBullet"/>
      </w:pPr>
      <w:r>
        <w:rPr>
          <w:rFonts w:ascii="Noto Sans" w:hAnsi="Noto Sans"/>
          <w:sz w:val="21"/>
        </w:rPr>
        <w:t>des règles applicables en matière de durée du travail ;</w:t>
      </w:r>
    </w:p>
    <w:p>
      <w:pPr>
        <w:pStyle w:val="ListBullet"/>
      </w:pPr>
      <w:r>
        <w:rPr>
          <w:rFonts w:ascii="Noto Sans" w:hAnsi="Noto Sans"/>
          <w:sz w:val="21"/>
        </w:rPr>
        <w:t>de santé et de sécurité ;</w:t>
      </w:r>
    </w:p>
    <w:p>
      <w:pPr>
        <w:pStyle w:val="ListBullet"/>
      </w:pPr>
      <w:r>
        <w:rPr>
          <w:rFonts w:ascii="Noto Sans" w:hAnsi="Noto Sans"/>
          <w:sz w:val="21"/>
        </w:rPr>
        <w:t>de protection des données et de sécurité informatique ;</w:t>
      </w:r>
    </w:p>
    <w:p>
      <w:pPr>
        <w:pStyle w:val="ListBullet"/>
      </w:pPr>
      <w:r>
        <w:rPr>
          <w:rFonts w:ascii="Noto Sans" w:hAnsi="Noto Sans"/>
          <w:sz w:val="21"/>
        </w:rPr>
        <w:t>des nécessités propres aux activités de l'organisme de formation.</w:t>
      </w:r>
    </w:p>
    <w:p>
      <w:pPr>
        <w:keepLines w:val="0"/>
      </w:pPr>
      <w:r>
        <w:rPr>
          <w:rFonts w:ascii="Noto Sans" w:hAnsi="Noto Sans"/>
          <w:sz w:val="21"/>
        </w:rPr>
        <w:t>Le CSE est invité à formuler son avis sur le projet présenté et, le cas échéant, ses observations ou propositions.</w:t>
      </w:r>
    </w:p>
    <w:p>
      <w:pPr>
        <w:spacing w:before="40" w:after="80"/>
        <w:pBdr>
          <w:bottom w:val="single" w:sz="4" w:color="D7E2E6"/>
        </w:pBdr>
      </w:pPr>
    </w:p>
    <w:p>
      <w:pPr>
        <w:pStyle w:val="Heading1"/>
      </w:pPr>
      <w:r>
        <w:rPr>
          <w:rFonts w:ascii="Noto Sans" w:hAnsi="Noto Sans"/>
          <w:sz w:val="21"/>
        </w:rPr>
        <w:t>3. Contexte et objectifs du projet</w:t>
      </w:r>
    </w:p>
    <w:p>
      <w:pPr>
        <w:pStyle w:val="Heading2"/>
      </w:pPr>
      <w:r>
        <w:rPr>
          <w:rFonts w:ascii="Noto Sans" w:hAnsi="Noto Sans"/>
          <w:sz w:val="21"/>
        </w:rPr>
        <w:t>Situation actuelle</w:t>
      </w:r>
    </w:p>
    <w:p>
      <w:pPr>
        <w:keepLines w:val="0"/>
      </w:pPr>
      <w:r>
        <w:rPr>
          <w:rFonts w:ascii="Noto Sans" w:hAnsi="Noto Sans"/>
          <w:sz w:val="21"/>
        </w:rPr>
        <w:t>Décrire brièvement :</w:t>
      </w:r>
    </w:p>
    <w:p>
      <w:pPr>
        <w:pStyle w:val="ListBullet"/>
      </w:pPr>
      <w:r>
        <w:rPr>
          <w:rFonts w:ascii="Noto Sans" w:hAnsi="Noto Sans"/>
          <w:sz w:val="21"/>
        </w:rPr>
        <w:t>les pratiques existantes de télétravail ;</w:t>
      </w:r>
    </w:p>
    <w:p>
      <w:pPr>
        <w:pStyle w:val="ListBullet"/>
      </w:pPr>
      <w:r>
        <w:rPr>
          <w:rFonts w:ascii="Noto Sans" w:hAnsi="Noto Sans"/>
          <w:sz w:val="21"/>
        </w:rPr>
        <w:t>les catégories de salariés actuellement concernées ;</w:t>
      </w:r>
    </w:p>
    <w:p>
      <w:pPr>
        <w:pStyle w:val="ListBullet"/>
      </w:pPr>
      <w:r>
        <w:rPr>
          <w:rFonts w:ascii="Noto Sans" w:hAnsi="Noto Sans"/>
          <w:sz w:val="21"/>
        </w:rPr>
        <w:t>l'existence éventuelle d'accords individuels ;</w:t>
      </w:r>
    </w:p>
    <w:p>
      <w:pPr>
        <w:pStyle w:val="ListBullet"/>
      </w:pPr>
      <w:r>
        <w:rPr>
          <w:rFonts w:ascii="Noto Sans" w:hAnsi="Noto Sans"/>
          <w:sz w:val="21"/>
        </w:rPr>
        <w:t>les difficultés ou besoins identifiés ;</w:t>
      </w:r>
    </w:p>
    <w:p>
      <w:pPr>
        <w:pStyle w:val="ListBullet"/>
      </w:pPr>
      <w:r>
        <w:rPr>
          <w:rFonts w:ascii="Noto Sans" w:hAnsi="Noto Sans"/>
          <w:sz w:val="21"/>
        </w:rPr>
        <w:t>les éventuelles évolutions d'organisation justifiant le projet.</w:t>
      </w:r>
    </w:p>
    <w:p>
      <w:pPr>
        <w:keepLines w:val="0"/>
      </w:pPr>
      <w:r>
        <w:rPr>
          <w:rFonts w:ascii="Noto Sans" w:hAnsi="Noto Sans"/>
          <w:b/>
          <w:color w:val="17324D"/>
          <w:sz w:val="21"/>
        </w:rPr>
        <w:t>Présentation :</w:t>
      </w:r>
    </w:p>
    <w:p>
      <w:pPr>
        <w:keepLines w:val="0"/>
      </w:pPr>
      <w:r>
        <w:rPr>
          <w:rFonts w:ascii="Noto Sans" w:hAnsi="Noto Sans"/>
          <w:b/>
          <w:color w:val="7A5A00"/>
          <w:sz w:val="20"/>
          <w:shd w:fill="FFF6D8"/>
        </w:rPr>
        <w:t>[Zone à compléter]</w:t>
      </w:r>
    </w:p>
    <w:p>
      <w:pPr>
        <w:pStyle w:val="Heading2"/>
      </w:pPr>
      <w:r>
        <w:rPr>
          <w:rFonts w:ascii="Noto Sans" w:hAnsi="Noto Sans"/>
          <w:sz w:val="21"/>
        </w:rPr>
        <w:t>Objectifs poursuivis</w:t>
      </w:r>
    </w:p>
    <w:p>
      <w:pPr>
        <w:keepLines w:val="0"/>
      </w:pPr>
      <w:r>
        <w:rPr>
          <w:rFonts w:ascii="Noto Sans" w:hAnsi="Noto Sans"/>
          <w:sz w:val="21"/>
        </w:rPr>
        <w:t>Le projet peut notamment viser à :</w:t>
      </w:r>
    </w:p>
    <w:p>
      <w:pPr>
        <w:pStyle w:val="ListBullet"/>
      </w:pPr>
      <w:r>
        <w:rPr>
          <w:rFonts w:ascii="Noto Sans" w:hAnsi="Noto Sans"/>
          <w:sz w:val="21"/>
        </w:rPr>
        <w:t>encadrer des pratiques existantes ;</w:t>
      </w:r>
    </w:p>
    <w:p>
      <w:pPr>
        <w:pStyle w:val="ListBullet"/>
      </w:pPr>
      <w:r>
        <w:rPr>
          <w:rFonts w:ascii="Noto Sans" w:hAnsi="Noto Sans"/>
          <w:sz w:val="21"/>
        </w:rPr>
        <w:t>définir des règles communes et lisibles ;</w:t>
      </w:r>
    </w:p>
    <w:p>
      <w:pPr>
        <w:pStyle w:val="ListBullet"/>
      </w:pPr>
      <w:r>
        <w:rPr>
          <w:rFonts w:ascii="Noto Sans" w:hAnsi="Noto Sans"/>
          <w:sz w:val="21"/>
        </w:rPr>
        <w:t>organiser le travail hybride ;</w:t>
      </w:r>
    </w:p>
    <w:p>
      <w:pPr>
        <w:pStyle w:val="ListBullet"/>
      </w:pPr>
      <w:r>
        <w:rPr>
          <w:rFonts w:ascii="Noto Sans" w:hAnsi="Noto Sans"/>
          <w:sz w:val="21"/>
        </w:rPr>
        <w:t>préserver la continuité pédagogique et administrative ;</w:t>
      </w:r>
    </w:p>
    <w:p>
      <w:pPr>
        <w:pStyle w:val="ListBullet"/>
      </w:pPr>
      <w:r>
        <w:rPr>
          <w:rFonts w:ascii="Noto Sans" w:hAnsi="Noto Sans"/>
          <w:sz w:val="21"/>
        </w:rPr>
        <w:t>faciliter certaines organisations de travail lorsqu'elles sont compatibles avec les missions ;</w:t>
      </w:r>
    </w:p>
    <w:p>
      <w:pPr>
        <w:pStyle w:val="ListBullet"/>
      </w:pPr>
      <w:r>
        <w:rPr>
          <w:rFonts w:ascii="Noto Sans" w:hAnsi="Noto Sans"/>
          <w:sz w:val="21"/>
        </w:rPr>
        <w:t>renforcer la prévention des risques liés au travail à distance ;</w:t>
      </w:r>
    </w:p>
    <w:p>
      <w:pPr>
        <w:pStyle w:val="ListBullet"/>
      </w:pPr>
      <w:r>
        <w:rPr>
          <w:rFonts w:ascii="Noto Sans" w:hAnsi="Noto Sans"/>
          <w:sz w:val="21"/>
        </w:rPr>
        <w:t>sécuriser les outils, les données et les conditions de travail.</w:t>
      </w:r>
    </w:p>
    <w:p>
      <w:pPr>
        <w:keepLines w:val="0"/>
      </w:pPr>
      <w:r>
        <w:rPr>
          <w:rFonts w:ascii="Noto Sans" w:hAnsi="Noto Sans"/>
          <w:b/>
          <w:color w:val="17324D"/>
          <w:sz w:val="21"/>
        </w:rPr>
        <w:t>Objectifs propres à l'organisme :</w:t>
      </w:r>
    </w:p>
    <w:p>
      <w:pPr>
        <w:keepLines w:val="0"/>
      </w:pPr>
      <w:r>
        <w:rPr>
          <w:rFonts w:ascii="Noto Sans" w:hAnsi="Noto Sans"/>
          <w:b/>
          <w:color w:val="7A5A00"/>
          <w:sz w:val="20"/>
          <w:shd w:fill="FFF6D8"/>
        </w:rPr>
        <w:t>[Zone à compléter]</w:t>
      </w:r>
    </w:p>
    <w:p>
      <w:pPr>
        <w:spacing w:before="40" w:after="80"/>
        <w:pBdr>
          <w:bottom w:val="single" w:sz="4" w:color="D7E2E6"/>
        </w:pBdr>
      </w:pPr>
    </w:p>
    <w:p>
      <w:pPr>
        <w:pStyle w:val="Heading1"/>
      </w:pPr>
      <w:r>
        <w:rPr>
          <w:rFonts w:ascii="Noto Sans" w:hAnsi="Noto Sans"/>
          <w:sz w:val="21"/>
        </w:rPr>
        <w:t>4. Périmètre et critères d'éligibilité</w:t>
      </w:r>
    </w:p>
    <w:p>
      <w:pPr>
        <w:keepLines w:val="0"/>
      </w:pPr>
      <w:r>
        <w:rPr>
          <w:rFonts w:ascii="Noto Sans" w:hAnsi="Noto Sans"/>
          <w:sz w:val="21"/>
        </w:rPr>
        <w:t>L'accès au télétravail est déterminé au regard des activités réellement exercées et de critères clairs, objectifs et non discriminatoires.</w:t>
      </w:r>
    </w:p>
    <w:p>
      <w:pPr>
        <w:pStyle w:val="Heading2"/>
      </w:pPr>
      <w:r>
        <w:rPr>
          <w:rFonts w:ascii="Noto Sans" w:hAnsi="Noto Sans"/>
          <w:sz w:val="21"/>
        </w:rPr>
        <w:t>Activités ou fonctions potentiellement concernées</w:t>
      </w:r>
    </w:p>
    <w:p>
      <w:pPr>
        <w:keepLines w:val="0"/>
      </w:pPr>
      <w:r>
        <w:rPr>
          <w:rFonts w:ascii="Noto Sans" w:hAnsi="Noto Sans"/>
          <w:b/>
          <w:color w:val="7A5A00"/>
          <w:sz w:val="20"/>
          <w:shd w:fill="FFF6D8"/>
        </w:rPr>
        <w:t>[à compléter]</w:t>
      </w:r>
    </w:p>
    <w:p>
      <w:pPr>
        <w:keepLines w:val="0"/>
      </w:pPr>
      <w:r>
        <w:rPr>
          <w:rFonts w:ascii="Noto Sans" w:hAnsi="Noto Sans"/>
          <w:sz w:val="21"/>
        </w:rPr>
        <w:t>Exemples possibles selon l'organisation :</w:t>
      </w:r>
    </w:p>
    <w:p>
      <w:pPr>
        <w:pStyle w:val="ListBullet"/>
      </w:pPr>
      <w:r>
        <w:rPr>
          <w:rFonts w:ascii="Noto Sans" w:hAnsi="Noto Sans"/>
          <w:sz w:val="21"/>
        </w:rPr>
        <w:t>fonctions administratives ;</w:t>
      </w:r>
    </w:p>
    <w:p>
      <w:pPr>
        <w:pStyle w:val="ListBullet"/>
      </w:pPr>
      <w:r>
        <w:rPr>
          <w:rFonts w:ascii="Noto Sans" w:hAnsi="Noto Sans"/>
          <w:sz w:val="21"/>
        </w:rPr>
        <w:t>préparation et ingénierie pédagogiques ;</w:t>
      </w:r>
    </w:p>
    <w:p>
      <w:pPr>
        <w:pStyle w:val="ListBullet"/>
      </w:pPr>
      <w:r>
        <w:rPr>
          <w:rFonts w:ascii="Noto Sans" w:hAnsi="Noto Sans"/>
          <w:sz w:val="21"/>
        </w:rPr>
        <w:t>suivi des apprenants ;</w:t>
      </w:r>
    </w:p>
    <w:p>
      <w:pPr>
        <w:pStyle w:val="ListBullet"/>
      </w:pPr>
      <w:r>
        <w:rPr>
          <w:rFonts w:ascii="Noto Sans" w:hAnsi="Noto Sans"/>
          <w:sz w:val="21"/>
        </w:rPr>
        <w:t>conception de supports ;</w:t>
      </w:r>
    </w:p>
    <w:p>
      <w:pPr>
        <w:pStyle w:val="ListBullet"/>
      </w:pPr>
      <w:r>
        <w:rPr>
          <w:rFonts w:ascii="Noto Sans" w:hAnsi="Noto Sans"/>
          <w:sz w:val="21"/>
        </w:rPr>
        <w:t>fonctions qualité ;</w:t>
      </w:r>
    </w:p>
    <w:p>
      <w:pPr>
        <w:pStyle w:val="ListBullet"/>
      </w:pPr>
      <w:r>
        <w:rPr>
          <w:rFonts w:ascii="Noto Sans" w:hAnsi="Noto Sans"/>
          <w:sz w:val="21"/>
        </w:rPr>
        <w:t>ressources humaines ;</w:t>
      </w:r>
    </w:p>
    <w:p>
      <w:pPr>
        <w:pStyle w:val="ListBullet"/>
      </w:pPr>
      <w:r>
        <w:rPr>
          <w:rFonts w:ascii="Noto Sans" w:hAnsi="Noto Sans"/>
          <w:sz w:val="21"/>
        </w:rPr>
        <w:t>comptabilité ;</w:t>
      </w:r>
    </w:p>
    <w:p>
      <w:pPr>
        <w:pStyle w:val="ListBullet"/>
      </w:pPr>
      <w:r>
        <w:rPr>
          <w:rFonts w:ascii="Noto Sans" w:hAnsi="Noto Sans"/>
          <w:sz w:val="21"/>
        </w:rPr>
        <w:t>activités commerciales réalisables à distance ;</w:t>
      </w:r>
    </w:p>
    <w:p>
      <w:pPr>
        <w:pStyle w:val="ListBullet"/>
      </w:pPr>
      <w:r>
        <w:rPr>
          <w:rFonts w:ascii="Noto Sans" w:hAnsi="Noto Sans"/>
          <w:sz w:val="21"/>
        </w:rPr>
        <w:t>communication ;</w:t>
      </w:r>
    </w:p>
    <w:p>
      <w:pPr>
        <w:pStyle w:val="ListBullet"/>
      </w:pPr>
      <w:r>
        <w:rPr>
          <w:rFonts w:ascii="Noto Sans" w:hAnsi="Noto Sans"/>
          <w:sz w:val="21"/>
        </w:rPr>
        <w:t>animation de classes virtuelles.</w:t>
      </w:r>
    </w:p>
    <w:p>
      <w:pPr>
        <w:pStyle w:val="Heading2"/>
      </w:pPr>
      <w:r>
        <w:rPr>
          <w:rFonts w:ascii="Noto Sans" w:hAnsi="Noto Sans"/>
          <w:sz w:val="21"/>
        </w:rPr>
        <w:t>Activités nécessitant généralement une présence</w:t>
      </w:r>
    </w:p>
    <w:p>
      <w:pPr>
        <w:keepLines w:val="0"/>
      </w:pPr>
      <w:r>
        <w:rPr>
          <w:rFonts w:ascii="Noto Sans" w:hAnsi="Noto Sans"/>
          <w:b/>
          <w:color w:val="7A5A00"/>
          <w:sz w:val="20"/>
          <w:shd w:fill="FFF6D8"/>
        </w:rPr>
        <w:t>[à compléter]</w:t>
      </w:r>
    </w:p>
    <w:p>
      <w:pPr>
        <w:keepLines w:val="0"/>
      </w:pPr>
      <w:r>
        <w:rPr>
          <w:rFonts w:ascii="Noto Sans" w:hAnsi="Noto Sans"/>
          <w:sz w:val="21"/>
        </w:rPr>
        <w:t>Exemples selon l'organisation :</w:t>
      </w:r>
    </w:p>
    <w:p>
      <w:pPr>
        <w:pStyle w:val="ListBullet"/>
      </w:pPr>
      <w:r>
        <w:rPr>
          <w:rFonts w:ascii="Noto Sans" w:hAnsi="Noto Sans"/>
          <w:sz w:val="21"/>
        </w:rPr>
        <w:t>accueil physique ;</w:t>
      </w:r>
    </w:p>
    <w:p>
      <w:pPr>
        <w:pStyle w:val="ListBullet"/>
      </w:pPr>
      <w:r>
        <w:rPr>
          <w:rFonts w:ascii="Noto Sans" w:hAnsi="Noto Sans"/>
          <w:sz w:val="21"/>
        </w:rPr>
        <w:t>sessions présentielles ;</w:t>
      </w:r>
    </w:p>
    <w:p>
      <w:pPr>
        <w:pStyle w:val="ListBullet"/>
      </w:pPr>
      <w:r>
        <w:rPr>
          <w:rFonts w:ascii="Noto Sans" w:hAnsi="Noto Sans"/>
          <w:sz w:val="21"/>
        </w:rPr>
        <w:t>jurys ou évaluations nécessitant une présence ;</w:t>
      </w:r>
    </w:p>
    <w:p>
      <w:pPr>
        <w:pStyle w:val="ListBullet"/>
      </w:pPr>
      <w:r>
        <w:rPr>
          <w:rFonts w:ascii="Noto Sans" w:hAnsi="Noto Sans"/>
          <w:sz w:val="21"/>
        </w:rPr>
        <w:t>utilisation d'un plateau technique ;</w:t>
      </w:r>
    </w:p>
    <w:p>
      <w:pPr>
        <w:pStyle w:val="ListBullet"/>
      </w:pPr>
      <w:r>
        <w:rPr>
          <w:rFonts w:ascii="Noto Sans" w:hAnsi="Noto Sans"/>
          <w:sz w:val="21"/>
        </w:rPr>
        <w:t>activités nécessitant un accès physique à des équipements ou documents ;</w:t>
      </w:r>
    </w:p>
    <w:p>
      <w:pPr>
        <w:pStyle w:val="ListBullet"/>
      </w:pPr>
      <w:r>
        <w:rPr>
          <w:rFonts w:ascii="Noto Sans" w:hAnsi="Noto Sans"/>
          <w:sz w:val="21"/>
        </w:rPr>
        <w:t>réunions ou événements imposant exceptionnellement une présence.</w:t>
      </w:r>
    </w:p>
    <w:p>
      <w:pPr>
        <w:pStyle w:val="Heading2"/>
      </w:pPr>
      <w:r>
        <w:rPr>
          <w:rFonts w:ascii="Noto Sans" w:hAnsi="Noto Sans"/>
          <w:sz w:val="21"/>
        </w:rPr>
        <w:t>Critères retenus</w:t>
      </w:r>
    </w:p>
    <w:p>
      <w:pPr>
        <w:pStyle w:val="ListBullet"/>
      </w:pPr>
      <w:r>
        <w:rPr>
          <w:rFonts w:ascii="Noto Sans" w:hAnsi="Noto Sans"/>
          <w:sz w:val="21"/>
        </w:rPr>
        <w:t>compatibilité de l'activité avec le travail à distance ;</w:t>
      </w:r>
    </w:p>
    <w:p>
      <w:pPr>
        <w:pStyle w:val="ListBullet"/>
      </w:pPr>
      <w:r>
        <w:rPr>
          <w:rFonts w:ascii="Noto Sans" w:hAnsi="Noto Sans"/>
          <w:sz w:val="21"/>
        </w:rPr>
        <w:t>autonomie requise ;</w:t>
      </w:r>
    </w:p>
    <w:p>
      <w:pPr>
        <w:pStyle w:val="ListBullet"/>
      </w:pPr>
      <w:r>
        <w:rPr>
          <w:rFonts w:ascii="Noto Sans" w:hAnsi="Noto Sans"/>
          <w:sz w:val="21"/>
        </w:rPr>
        <w:t>organisation du service et continuité de l'activité ;</w:t>
      </w:r>
    </w:p>
    <w:p>
      <w:pPr>
        <w:pStyle w:val="ListBullet"/>
      </w:pPr>
      <w:r>
        <w:rPr>
          <w:rFonts w:ascii="Noto Sans" w:hAnsi="Noto Sans"/>
          <w:sz w:val="21"/>
        </w:rPr>
        <w:t>besoins d'accueil ou de présence ;</w:t>
      </w:r>
    </w:p>
    <w:p>
      <w:pPr>
        <w:pStyle w:val="ListBullet"/>
      </w:pPr>
      <w:r>
        <w:rPr>
          <w:rFonts w:ascii="Noto Sans" w:hAnsi="Noto Sans"/>
          <w:sz w:val="21"/>
        </w:rPr>
        <w:t>sécurité et confidentialité ;</w:t>
      </w:r>
    </w:p>
    <w:p>
      <w:pPr>
        <w:pStyle w:val="ListBullet"/>
      </w:pPr>
      <w:r>
        <w:rPr>
          <w:rFonts w:ascii="Noto Sans" w:hAnsi="Noto Sans"/>
          <w:sz w:val="21"/>
        </w:rPr>
        <w:t>équipements nécessaires ;</w:t>
      </w:r>
    </w:p>
    <w:p>
      <w:pPr>
        <w:pStyle w:val="ListBullet"/>
      </w:pPr>
      <w:r>
        <w:rPr>
          <w:rFonts w:ascii="Noto Sans" w:hAnsi="Noto Sans"/>
          <w:sz w:val="21"/>
        </w:rPr>
        <w:t xml:space="preserve">autres critères objectifs : </w:t>
      </w:r>
      <w:r>
        <w:rPr>
          <w:rFonts w:ascii="Noto Sans" w:hAnsi="Noto Sans"/>
          <w:b/>
          <w:color w:val="7A5A00"/>
          <w:sz w:val="20"/>
          <w:shd w:fill="FFF6D8"/>
        </w:rPr>
        <w:t>[à préciser]</w:t>
      </w:r>
      <w:r>
        <w:rPr>
          <w:rFonts w:ascii="Noto Sans" w:hAnsi="Noto Sans"/>
          <w:sz w:val="21"/>
        </w:rPr>
        <w:t>.</w:t>
      </w:r>
    </w:p>
    <w:p>
      <w:pPr>
        <w:spacing w:before="40" w:after="80"/>
        <w:pBdr>
          <w:bottom w:val="single" w:sz="4" w:color="D7E2E6"/>
        </w:pBdr>
      </w:pPr>
    </w:p>
    <w:p>
      <w:pPr>
        <w:pStyle w:val="Heading1"/>
      </w:pPr>
      <w:r>
        <w:rPr>
          <w:rFonts w:ascii="Noto Sans" w:hAnsi="Noto Sans"/>
          <w:sz w:val="21"/>
        </w:rPr>
        <w:t>5. Modalités de mise en oeuvre envisagées</w:t>
      </w:r>
    </w:p>
    <w:p>
      <w:pPr>
        <w:pStyle w:val="Heading2"/>
      </w:pPr>
      <w:r>
        <w:rPr>
          <w:rFonts w:ascii="Noto Sans" w:hAnsi="Noto Sans"/>
          <w:sz w:val="21"/>
        </w:rPr>
        <w:t>Cadre retenu</w:t>
      </w:r>
    </w:p>
    <w:p>
      <w:pPr>
        <w:pStyle w:val="ListBullet"/>
        <w:ind w:left="283"/>
      </w:pPr>
      <w:r>
        <w:rPr>
          <w:rFonts w:ascii="Noto Sans" w:hAnsi="Noto Sans"/>
          <w:b/>
          <w:color w:val="1F9E9A"/>
          <w:sz w:val="21"/>
        </w:rPr>
        <w:t xml:space="preserve">☐ </w:t>
      </w:r>
      <w:r>
        <w:rPr>
          <w:rFonts w:ascii="Noto Sans" w:hAnsi="Noto Sans"/>
          <w:sz w:val="21"/>
        </w:rPr>
        <w:t>Charte télétravail</w:t>
      </w:r>
    </w:p>
    <w:p>
      <w:pPr>
        <w:pStyle w:val="ListBullet"/>
        <w:ind w:left="283"/>
      </w:pPr>
      <w:r>
        <w:rPr>
          <w:rFonts w:ascii="Noto Sans" w:hAnsi="Noto Sans"/>
          <w:b/>
          <w:color w:val="1F9E9A"/>
          <w:sz w:val="21"/>
        </w:rPr>
        <w:t xml:space="preserve">☐ </w:t>
      </w:r>
      <w:r>
        <w:rPr>
          <w:rFonts w:ascii="Noto Sans" w:hAnsi="Noto Sans"/>
          <w:sz w:val="21"/>
        </w:rPr>
        <w:t>Révision d'une charte existante</w:t>
      </w:r>
    </w:p>
    <w:p>
      <w:pPr>
        <w:pStyle w:val="ListBullet"/>
        <w:ind w:left="283"/>
      </w:pPr>
      <w:r>
        <w:rPr>
          <w:rFonts w:ascii="Noto Sans" w:hAnsi="Noto Sans"/>
          <w:b/>
          <w:color w:val="1F9E9A"/>
          <w:sz w:val="21"/>
        </w:rPr>
        <w:t xml:space="preserve">☐ </w:t>
      </w:r>
      <w:r>
        <w:rPr>
          <w:rFonts w:ascii="Noto Sans" w:hAnsi="Noto Sans"/>
          <w:sz w:val="21"/>
        </w:rPr>
        <w:t xml:space="preserve">Autre cadre : </w:t>
      </w:r>
      <w:r>
        <w:rPr>
          <w:rFonts w:ascii="Noto Sans" w:hAnsi="Noto Sans"/>
          <w:b/>
          <w:color w:val="7A5A00"/>
          <w:sz w:val="20"/>
          <w:shd w:fill="FFF6D8"/>
        </w:rPr>
        <w:t>[à préciser]</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En présence d'une charte, les modalités d'acceptation par le salarié doivent être prévues par celle-ci. Un accord individuel distinct n'est pas systématiquement requis.</w:t>
            </w:r>
          </w:p>
        </w:tc>
      </w:tr>
    </w:tbl>
    <w:p>
      <w:pPr>
        <w:spacing w:after="20"/>
      </w:pPr>
    </w:p>
    <w:p>
      <w:pPr>
        <w:pStyle w:val="Heading2"/>
      </w:pPr>
      <w:r>
        <w:rPr>
          <w:rFonts w:ascii="Noto Sans" w:hAnsi="Noto Sans"/>
          <w:sz w:val="21"/>
        </w:rPr>
        <w:t>Formes de télétravail</w:t>
      </w:r>
    </w:p>
    <w:p>
      <w:pPr>
        <w:pStyle w:val="ListBullet"/>
        <w:ind w:left="283"/>
      </w:pPr>
      <w:r>
        <w:rPr>
          <w:rFonts w:ascii="Noto Sans" w:hAnsi="Noto Sans"/>
          <w:b/>
          <w:color w:val="1F9E9A"/>
          <w:sz w:val="21"/>
        </w:rPr>
        <w:t xml:space="preserve">☐ </w:t>
      </w:r>
      <w:r>
        <w:rPr>
          <w:rFonts w:ascii="Noto Sans" w:hAnsi="Noto Sans"/>
          <w:sz w:val="21"/>
        </w:rPr>
        <w:t>Régulier</w:t>
      </w:r>
    </w:p>
    <w:p>
      <w:pPr>
        <w:pStyle w:val="ListBullet"/>
        <w:ind w:left="283"/>
      </w:pPr>
      <w:r>
        <w:rPr>
          <w:rFonts w:ascii="Noto Sans" w:hAnsi="Noto Sans"/>
          <w:b/>
          <w:color w:val="1F9E9A"/>
          <w:sz w:val="21"/>
        </w:rPr>
        <w:t xml:space="preserve">☐ </w:t>
      </w:r>
      <w:r>
        <w:rPr>
          <w:rFonts w:ascii="Noto Sans" w:hAnsi="Noto Sans"/>
          <w:sz w:val="21"/>
        </w:rPr>
        <w:t>Occasionnel</w:t>
      </w:r>
    </w:p>
    <w:p>
      <w:pPr>
        <w:pStyle w:val="ListBullet"/>
        <w:ind w:left="283"/>
      </w:pPr>
      <w:r>
        <w:rPr>
          <w:rFonts w:ascii="Noto Sans" w:hAnsi="Noto Sans"/>
          <w:b/>
          <w:color w:val="1F9E9A"/>
          <w:sz w:val="21"/>
        </w:rPr>
        <w:t xml:space="preserve">☐ </w:t>
      </w:r>
      <w:r>
        <w:rPr>
          <w:rFonts w:ascii="Noto Sans" w:hAnsi="Noto Sans"/>
          <w:sz w:val="21"/>
        </w:rPr>
        <w:t>Télétravail en circonstances exceptionnelles selon les règles légales</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pStyle w:val="Heading2"/>
      </w:pPr>
      <w:r>
        <w:rPr>
          <w:rFonts w:ascii="Noto Sans" w:hAnsi="Noto Sans"/>
          <w:sz w:val="21"/>
        </w:rPr>
        <w:t>Fréquence envisagée</w:t>
      </w:r>
    </w:p>
    <w:p>
      <w:pPr>
        <w:keepLines w:val="0"/>
      </w:pPr>
      <w:r>
        <w:rPr>
          <w:rFonts w:ascii="Noto Sans" w:hAnsi="Noto Sans"/>
          <w:b/>
          <w:color w:val="7A5A00"/>
          <w:sz w:val="20"/>
          <w:shd w:fill="FFF6D8"/>
        </w:rPr>
        <w:t>[Ex. : maximum X jours par semaine / X jours par mois / autre règle]</w:t>
      </w:r>
    </w:p>
    <w:p>
      <w:pPr>
        <w:pStyle w:val="Heading2"/>
      </w:pPr>
      <w:r>
        <w:rPr>
          <w:rFonts w:ascii="Noto Sans" w:hAnsi="Noto Sans"/>
          <w:sz w:val="21"/>
        </w:rPr>
        <w:t>Jours et modifications</w:t>
      </w:r>
    </w:p>
    <w:p>
      <w:pPr>
        <w:keepLines w:val="0"/>
      </w:pPr>
      <w:r>
        <w:rPr>
          <w:rFonts w:ascii="Noto Sans" w:hAnsi="Noto Sans"/>
          <w:b/>
          <w:color w:val="17324D"/>
          <w:sz w:val="21"/>
        </w:rPr>
        <w:t>Modalités de fixation des jours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Délai de prévenance en cas de modification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Règles de report éventuel :</w:t>
      </w:r>
    </w:p>
    <w:p>
      <w:pPr>
        <w:keepLines w:val="0"/>
      </w:pPr>
      <w:r>
        <w:rPr>
          <w:rFonts w:ascii="Noto Sans" w:hAnsi="Noto Sans"/>
          <w:b/>
          <w:color w:val="7A5A00"/>
          <w:sz w:val="20"/>
          <w:shd w:fill="FFF6D8"/>
        </w:rPr>
        <w:t>[à compléter]</w:t>
      </w:r>
    </w:p>
    <w:p>
      <w:pPr>
        <w:pStyle w:val="Heading2"/>
      </w:pPr>
      <w:r>
        <w:rPr>
          <w:rFonts w:ascii="Noto Sans" w:hAnsi="Noto Sans"/>
          <w:sz w:val="21"/>
        </w:rPr>
        <w:t>Lieux autorisés</w:t>
      </w:r>
    </w:p>
    <w:p>
      <w:pPr>
        <w:pStyle w:val="ListBullet"/>
        <w:ind w:left="283"/>
      </w:pPr>
      <w:r>
        <w:rPr>
          <w:rFonts w:ascii="Noto Sans" w:hAnsi="Noto Sans"/>
          <w:b/>
          <w:color w:val="1F9E9A"/>
          <w:sz w:val="21"/>
        </w:rPr>
        <w:t xml:space="preserve">☐ </w:t>
      </w:r>
      <w:r>
        <w:rPr>
          <w:rFonts w:ascii="Noto Sans" w:hAnsi="Noto Sans"/>
          <w:sz w:val="21"/>
        </w:rPr>
        <w:t>Domicile déclaré</w:t>
      </w:r>
    </w:p>
    <w:p>
      <w:pPr>
        <w:pStyle w:val="ListBullet"/>
        <w:ind w:left="283"/>
      </w:pPr>
      <w:r>
        <w:rPr>
          <w:rFonts w:ascii="Noto Sans" w:hAnsi="Noto Sans"/>
          <w:b/>
          <w:color w:val="1F9E9A"/>
          <w:sz w:val="21"/>
        </w:rPr>
        <w:t xml:space="preserve">☐ </w:t>
      </w:r>
      <w:r>
        <w:rPr>
          <w:rFonts w:ascii="Noto Sans" w:hAnsi="Noto Sans"/>
          <w:sz w:val="21"/>
        </w:rPr>
        <w:t>Autre lieu privé validé</w:t>
      </w:r>
    </w:p>
    <w:p>
      <w:pPr>
        <w:pStyle w:val="ListBullet"/>
        <w:ind w:left="283"/>
      </w:pPr>
      <w:r>
        <w:rPr>
          <w:rFonts w:ascii="Noto Sans" w:hAnsi="Noto Sans"/>
          <w:b/>
          <w:color w:val="1F9E9A"/>
          <w:sz w:val="21"/>
        </w:rPr>
        <w:t xml:space="preserve">☐ </w:t>
      </w:r>
      <w:r>
        <w:rPr>
          <w:rFonts w:ascii="Noto Sans" w:hAnsi="Noto Sans"/>
          <w:sz w:val="21"/>
        </w:rPr>
        <w:t>Tiers-lieu autorisé</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pStyle w:val="Heading2"/>
      </w:pPr>
      <w:r>
        <w:t>Episode de pollution</w:t>
      </w:r>
    </w:p>
    <w:p>
      <w:pPr/>
      <w:r>
        <w:t>Le projet de charte précise-t-il les conditions de passage en télétravail en cas d'épisode de pollution au sens de l'article L. 1222-9 du Code du travail ?</w:t>
      </w:r>
    </w:p>
    <w:p>
      <w:pPr>
        <w:pStyle w:val="ListBullet"/>
      </w:pPr>
      <w:r>
        <w:t>☐ Oui</w:t>
      </w:r>
    </w:p>
    <w:p>
      <w:pPr>
        <w:pStyle w:val="ListBullet"/>
      </w:pPr>
      <w:r>
        <w:t>☐ Non</w:t>
      </w:r>
    </w:p>
    <w:p>
      <w:pPr>
        <w:pStyle w:val="ListBullet"/>
      </w:pPr>
      <w:r>
        <w:t>☐ A compléter</w:t>
      </w:r>
    </w:p>
    <w:p>
      <w:r>
        <w:rPr>
          <w:b/>
          <w:color w:val="17324D"/>
        </w:rPr>
        <w:t>Modalités retenues :</w:t>
      </w:r>
      <w:r>
        <w:t xml:space="preserve"> </w:t>
      </w:r>
      <w:r>
        <w:rPr>
          <w:b/>
          <w:color w:val="7A5A00"/>
        </w:rPr>
        <w:t>[à compléter]</w:t>
      </w:r>
    </w:p>
    <w:p>
      <w:pPr>
        <w:spacing w:before="40" w:after="80"/>
        <w:pBdr>
          <w:bottom w:val="single" w:sz="4" w:color="D7E2E6"/>
        </w:pBdr>
      </w:pPr>
    </w:p>
    <w:p>
      <w:pPr>
        <w:pStyle w:val="Heading1"/>
      </w:pPr>
      <w:r>
        <w:rPr>
          <w:rFonts w:ascii="Noto Sans" w:hAnsi="Noto Sans"/>
          <w:sz w:val="21"/>
        </w:rPr>
        <w:t>6. Demande, acceptation et refus</w:t>
      </w:r>
    </w:p>
    <w:p>
      <w:pPr>
        <w:pStyle w:val="Heading2"/>
      </w:pPr>
      <w:r>
        <w:rPr>
          <w:rFonts w:ascii="Noto Sans" w:hAnsi="Noto Sans"/>
          <w:sz w:val="21"/>
        </w:rPr>
        <w:t>Procédure envisagée</w:t>
      </w:r>
    </w:p>
    <w:p>
      <w:pPr>
        <w:keepLines w:val="0"/>
      </w:pPr>
      <w:r>
        <w:rPr>
          <w:rFonts w:ascii="Noto Sans" w:hAnsi="Noto Sans"/>
          <w:b/>
          <w:color w:val="17324D"/>
          <w:sz w:val="21"/>
        </w:rPr>
        <w:t>Canal de demande :</w:t>
      </w:r>
    </w:p>
    <w:p>
      <w:pPr>
        <w:keepLines w:val="0"/>
      </w:pPr>
      <w:r>
        <w:rPr>
          <w:rFonts w:ascii="Noto Sans" w:hAnsi="Noto Sans"/>
          <w:b/>
          <w:color w:val="7A5A00"/>
          <w:sz w:val="20"/>
          <w:shd w:fill="FFF6D8"/>
        </w:rPr>
        <w:t>[courriel / formulaire / outil RH / autre]</w:t>
      </w:r>
    </w:p>
    <w:p>
      <w:pPr>
        <w:keepLines w:val="0"/>
      </w:pPr>
      <w:r>
        <w:rPr>
          <w:rFonts w:ascii="Noto Sans" w:hAnsi="Noto Sans"/>
          <w:b/>
          <w:color w:val="17324D"/>
          <w:sz w:val="21"/>
        </w:rPr>
        <w:t>Destinataire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Eléments demandés au salarié :</w:t>
      </w:r>
    </w:p>
    <w:p>
      <w:pPr>
        <w:keepLines w:val="0"/>
      </w:pPr>
      <w:r>
        <w:rPr>
          <w:rFonts w:ascii="Noto Sans" w:hAnsi="Noto Sans"/>
          <w:b/>
          <w:color w:val="7A5A00"/>
          <w:sz w:val="20"/>
          <w:shd w:fill="FFF6D8"/>
        </w:rPr>
        <w:t>[fréquence, jours, lieu, besoins matériels, autre]</w:t>
      </w:r>
    </w:p>
    <w:p>
      <w:pPr>
        <w:pStyle w:val="Heading2"/>
      </w:pPr>
      <w:r>
        <w:rPr>
          <w:rFonts w:ascii="Noto Sans" w:hAnsi="Noto Sans"/>
          <w:sz w:val="21"/>
        </w:rPr>
        <w:t>Formalisation de l'acceptation</w:t>
      </w:r>
    </w:p>
    <w:p>
      <w:pPr>
        <w:keepLines w:val="0"/>
      </w:pPr>
      <w:r>
        <w:rPr>
          <w:rFonts w:ascii="Noto Sans" w:hAnsi="Noto Sans"/>
          <w:b/>
          <w:color w:val="7A5A00"/>
          <w:sz w:val="20"/>
          <w:shd w:fill="FFF6D8"/>
        </w:rPr>
        <w:t>[Ex. : fiche individuelle d'acceptation et de paramétrage]</w:t>
      </w:r>
    </w:p>
    <w:p>
      <w:pPr>
        <w:pStyle w:val="Heading2"/>
      </w:pPr>
      <w:r>
        <w:rPr>
          <w:rFonts w:ascii="Noto Sans" w:hAnsi="Noto Sans"/>
          <w:sz w:val="21"/>
        </w:rPr>
        <w:t>Traitement des refus</w:t>
      </w:r>
    </w:p>
    <w:p>
      <w:pPr>
        <w:keepLines w:val="0"/>
      </w:pPr>
      <w:r>
        <w:rPr>
          <w:rFonts w:ascii="Noto Sans" w:hAnsi="Noto Sans"/>
          <w:sz w:val="21"/>
        </w:rPr>
        <w:t>Lorsqu'un salarié occupant un poste éligible demande à bénéficier du télétravail et que l'employeur refuse, l'accord de branche prévoit une motivation écrite dès que possible et au plus tard dans un délai de 20 jours calendaires.</w:t>
      </w:r>
    </w:p>
    <w:p>
      <w:pPr>
        <w:keepLines w:val="0"/>
      </w:pPr>
      <w:r>
        <w:rPr>
          <w:rFonts w:ascii="Noto Sans" w:hAnsi="Noto Sans"/>
          <w:b/>
          <w:color w:val="17324D"/>
          <w:sz w:val="21"/>
        </w:rPr>
        <w:t>Circuit interne de décision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7. Période d'adaptation et réversibilité</w:t>
      </w:r>
    </w:p>
    <w:p>
      <w:pPr>
        <w:pStyle w:val="Heading2"/>
      </w:pPr>
      <w:r>
        <w:rPr>
          <w:rFonts w:ascii="Noto Sans" w:hAnsi="Noto Sans"/>
          <w:sz w:val="21"/>
        </w:rPr>
        <w:t>Télétravail régulier</w:t>
      </w:r>
    </w:p>
    <w:p>
      <w:pPr>
        <w:keepLines w:val="0"/>
      </w:pPr>
      <w:r>
        <w:rPr>
          <w:rFonts w:ascii="Noto Sans" w:hAnsi="Noto Sans"/>
          <w:sz w:val="21"/>
        </w:rPr>
        <w:t>Une période d'adaptation est prévue dans la limite de 3 mois.</w:t>
      </w:r>
    </w:p>
    <w:p>
      <w:pPr>
        <w:keepLines w:val="0"/>
      </w:pPr>
      <w:r>
        <w:rPr>
          <w:rFonts w:ascii="Noto Sans" w:hAnsi="Noto Sans"/>
          <w:sz w:val="21"/>
        </w:rPr>
        <w:t>Pendant cette période, chacune des parties peut mettre fin au télétravail en respectant un délai de prévenance de 15 jours calendaires, sauf accord commun pour un délai plus court.</w:t>
      </w:r>
    </w:p>
    <w:p>
      <w:pPr>
        <w:keepLines w:val="0"/>
      </w:pPr>
      <w:r>
        <w:rPr>
          <w:rFonts w:ascii="Noto Sans" w:hAnsi="Noto Sans"/>
          <w:b/>
          <w:color w:val="17324D"/>
          <w:sz w:val="21"/>
        </w:rPr>
        <w:t>Durée retenue par l'entreprise :</w:t>
      </w:r>
    </w:p>
    <w:p>
      <w:pPr>
        <w:keepLines w:val="0"/>
      </w:pPr>
      <w:r>
        <w:rPr>
          <w:rFonts w:ascii="Noto Sans" w:hAnsi="Noto Sans"/>
          <w:b/>
          <w:color w:val="7A5A00"/>
          <w:sz w:val="20"/>
          <w:shd w:fill="FFF6D8"/>
        </w:rPr>
        <w:t>[à compléter]</w:t>
      </w:r>
    </w:p>
    <w:p>
      <w:pPr>
        <w:pStyle w:val="Heading2"/>
      </w:pPr>
      <w:r>
        <w:rPr>
          <w:rFonts w:ascii="Noto Sans" w:hAnsi="Noto Sans"/>
          <w:sz w:val="21"/>
        </w:rPr>
        <w:t>Réversibilité après la période d'adaptation</w:t>
      </w:r>
    </w:p>
    <w:p>
      <w:pPr>
        <w:keepLines w:val="0"/>
      </w:pPr>
      <w:r>
        <w:rPr>
          <w:rFonts w:ascii="Noto Sans" w:hAnsi="Noto Sans"/>
          <w:b/>
          <w:color w:val="17324D"/>
          <w:sz w:val="21"/>
        </w:rPr>
        <w:t>Modalités envisagées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Délai de prévenance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Modalités de retour dans les locaux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8. Temps de travail, charge et droit à la déconnexion</w:t>
      </w:r>
    </w:p>
    <w:p>
      <w:pPr>
        <w:keepLines w:val="0"/>
      </w:pPr>
      <w:r>
        <w:rPr>
          <w:rFonts w:ascii="Noto Sans" w:hAnsi="Noto Sans"/>
          <w:sz w:val="21"/>
        </w:rPr>
        <w:t>Le projet prévoit le maintien des règles applicables à la durée du travail et aux temps de repos.</w:t>
      </w:r>
    </w:p>
    <w:p>
      <w:pPr>
        <w:pStyle w:val="Heading2"/>
      </w:pPr>
      <w:r>
        <w:rPr>
          <w:rFonts w:ascii="Noto Sans" w:hAnsi="Noto Sans"/>
          <w:sz w:val="21"/>
        </w:rPr>
        <w:t>Plages de contact</w:t>
      </w:r>
    </w:p>
    <w:p>
      <w:pPr>
        <w:keepLines w:val="0"/>
      </w:pPr>
      <w:r>
        <w:rPr>
          <w:rFonts w:ascii="Noto Sans" w:hAnsi="Noto Sans"/>
          <w:b/>
          <w:color w:val="17324D"/>
          <w:sz w:val="21"/>
        </w:rPr>
        <w:t>Plages envisagées :</w:t>
      </w:r>
    </w:p>
    <w:p>
      <w:pPr>
        <w:keepLines w:val="0"/>
      </w:pPr>
      <w:r>
        <w:rPr>
          <w:rFonts w:ascii="Noto Sans" w:hAnsi="Noto Sans"/>
          <w:b/>
          <w:color w:val="7A5A00"/>
          <w:sz w:val="20"/>
          <w:shd w:fill="FFF6D8"/>
        </w:rPr>
        <w:t>[à compléter]</w:t>
      </w:r>
    </w:p>
    <w:p>
      <w:pPr>
        <w:keepLines w:val="0"/>
      </w:pPr>
      <w:r>
        <w:rPr>
          <w:rFonts w:ascii="Noto Sans" w:hAnsi="Noto Sans"/>
          <w:sz w:val="21"/>
        </w:rPr>
        <w:t>Ces plages correspondent aux périodes pendant lesquelles l'employeur peut habituellement contacter le salarié. Elles ne doivent pas avoir pour effet d'étendre son temps de travail.</w:t>
      </w:r>
    </w:p>
    <w:p>
      <w:pPr>
        <w:pStyle w:val="Heading2"/>
      </w:pPr>
      <w:r>
        <w:rPr>
          <w:rFonts w:ascii="Noto Sans" w:hAnsi="Noto Sans"/>
          <w:sz w:val="21"/>
        </w:rPr>
        <w:t>Suivi du temps ou de la charge</w:t>
      </w:r>
    </w:p>
    <w:p>
      <w:pPr>
        <w:keepLines w:val="0"/>
      </w:pPr>
      <w:r>
        <w:rPr>
          <w:rFonts w:ascii="Noto Sans" w:hAnsi="Noto Sans"/>
          <w:b/>
          <w:color w:val="17324D"/>
          <w:sz w:val="21"/>
        </w:rPr>
        <w:t>Modalités prévues :</w:t>
      </w:r>
    </w:p>
    <w:p>
      <w:pPr>
        <w:keepLines w:val="0"/>
      </w:pPr>
      <w:r>
        <w:rPr>
          <w:rFonts w:ascii="Noto Sans" w:hAnsi="Noto Sans"/>
          <w:b/>
          <w:color w:val="7A5A00"/>
          <w:sz w:val="20"/>
          <w:shd w:fill="FFF6D8"/>
        </w:rPr>
        <w:t>[à compléter]</w:t>
      </w:r>
    </w:p>
    <w:p>
      <w:pPr>
        <w:keepLines w:val="0"/>
      </w:pPr>
      <w:r>
        <w:rPr>
          <w:rFonts w:ascii="Noto Sans" w:hAnsi="Noto Sans"/>
          <w:sz w:val="21"/>
        </w:rPr>
        <w:t>Exemples :</w:t>
      </w:r>
    </w:p>
    <w:p>
      <w:pPr>
        <w:pStyle w:val="ListBullet"/>
      </w:pPr>
      <w:r>
        <w:rPr>
          <w:rFonts w:ascii="Noto Sans" w:hAnsi="Noto Sans"/>
          <w:sz w:val="21"/>
        </w:rPr>
        <w:t>planning ;</w:t>
      </w:r>
    </w:p>
    <w:p>
      <w:pPr>
        <w:pStyle w:val="ListBullet"/>
      </w:pPr>
      <w:r>
        <w:rPr>
          <w:rFonts w:ascii="Noto Sans" w:hAnsi="Noto Sans"/>
          <w:sz w:val="21"/>
        </w:rPr>
        <w:t>objectifs et livrables ;</w:t>
      </w:r>
    </w:p>
    <w:p>
      <w:pPr>
        <w:pStyle w:val="ListBullet"/>
      </w:pPr>
      <w:r>
        <w:rPr>
          <w:rFonts w:ascii="Noto Sans" w:hAnsi="Noto Sans"/>
          <w:sz w:val="21"/>
        </w:rPr>
        <w:t>outils de suivi nécessaires à l'activité ;</w:t>
      </w:r>
    </w:p>
    <w:p>
      <w:pPr>
        <w:pStyle w:val="ListBullet"/>
      </w:pPr>
      <w:r>
        <w:rPr>
          <w:rFonts w:ascii="Noto Sans" w:hAnsi="Noto Sans"/>
          <w:sz w:val="21"/>
        </w:rPr>
        <w:t>points périodiques avec le responsable.</w:t>
      </w:r>
    </w:p>
    <w:p>
      <w:pPr>
        <w:pStyle w:val="Heading2"/>
      </w:pPr>
      <w:r>
        <w:t>Système de surveillance ou contrôle particulier</w:t>
      </w:r>
    </w:p>
    <w:p>
      <w:pPr/>
      <w:r>
        <w:t>Un système de surveillance ou un dispositif particulier de contrôle du temps est-il envisagé ?</w:t>
      </w:r>
    </w:p>
    <w:p>
      <w:pPr>
        <w:pStyle w:val="ListBullet"/>
      </w:pPr>
      <w:r>
        <w:t>☐ Non</w:t>
      </w:r>
    </w:p>
    <w:p>
      <w:pPr>
        <w:pStyle w:val="ListBullet"/>
      </w:pPr>
      <w:r>
        <w:t>☐ Oui</w:t>
      </w:r>
    </w:p>
    <w:p>
      <w:pPr/>
      <w:r>
        <w:t>Si oui, préciser :</w:t>
      </w:r>
    </w:p>
    <w:p>
      <w:pPr>
        <w:pStyle w:val="ListBullet"/>
      </w:pPr>
      <w:r>
        <w:t>l'objectif poursuivi ;</w:t>
      </w:r>
    </w:p>
    <w:p>
      <w:pPr>
        <w:pStyle w:val="ListBullet"/>
      </w:pPr>
      <w:r>
        <w:t>le dispositif utilisé ;</w:t>
      </w:r>
    </w:p>
    <w:p>
      <w:pPr>
        <w:pStyle w:val="ListBullet"/>
      </w:pPr>
      <w:r>
        <w:t>les modalités d'information individuelle des salariés ;</w:t>
      </w:r>
    </w:p>
    <w:p>
      <w:pPr>
        <w:pStyle w:val="ListBullet"/>
      </w:pPr>
      <w:r>
        <w:t>l'information préalable du CSE prévue par l'accord de branche ;</w:t>
      </w:r>
    </w:p>
    <w:p>
      <w:pPr>
        <w:pStyle w:val="ListBullet"/>
      </w:pPr>
      <w:r>
        <w:t>la consultation du CSE lorsque les dispositions légales applicables l'exigent.</w:t>
      </w:r>
    </w:p>
    <w:p>
      <w:r>
        <w:rPr>
          <w:b/>
          <w:color w:val="17324D"/>
        </w:rPr>
        <w:t>Précisions :</w:t>
      </w:r>
      <w:r>
        <w:t xml:space="preserve"> </w:t>
      </w:r>
      <w:r>
        <w:rPr>
          <w:b/>
          <w:color w:val="7A5A00"/>
        </w:rPr>
        <w:t>[à compléter]</w:t>
      </w:r>
    </w:p>
    <w:p>
      <w:pPr>
        <w:pStyle w:val="Heading2"/>
      </w:pPr>
      <w:r>
        <w:rPr>
          <w:rFonts w:ascii="Noto Sans" w:hAnsi="Noto Sans"/>
          <w:sz w:val="21"/>
        </w:rPr>
        <w:t>Entretien annuel</w:t>
      </w:r>
    </w:p>
    <w:p>
      <w:pPr>
        <w:keepLines w:val="0"/>
      </w:pPr>
      <w:r>
        <w:rPr>
          <w:rFonts w:ascii="Noto Sans" w:hAnsi="Noto Sans"/>
          <w:sz w:val="21"/>
        </w:rPr>
        <w:t>L'entreprise prévoit un entretien annuel portant notamment sur les conditions d'activité et la charge de travail du salarié en télétravail.</w:t>
      </w:r>
    </w:p>
    <w:p>
      <w:pPr>
        <w:keepLines w:val="0"/>
      </w:pPr>
      <w:r>
        <w:rPr>
          <w:rFonts w:ascii="Noto Sans" w:hAnsi="Noto Sans"/>
          <w:b/>
          <w:color w:val="17324D"/>
          <w:sz w:val="21"/>
        </w:rPr>
        <w:t>Modalités envisagées :</w:t>
      </w:r>
    </w:p>
    <w:p>
      <w:pPr>
        <w:keepLines w:val="0"/>
      </w:pPr>
      <w:r>
        <w:rPr>
          <w:rFonts w:ascii="Noto Sans" w:hAnsi="Noto Sans"/>
          <w:b/>
          <w:color w:val="7A5A00"/>
          <w:sz w:val="20"/>
          <w:shd w:fill="FFF6D8"/>
        </w:rPr>
        <w:t>[à compléter]</w:t>
      </w:r>
    </w:p>
    <w:p>
      <w:pPr>
        <w:pStyle w:val="Heading2"/>
      </w:pPr>
      <w:r>
        <w:rPr>
          <w:rFonts w:ascii="Noto Sans" w:hAnsi="Noto Sans"/>
          <w:sz w:val="21"/>
        </w:rPr>
        <w:t>Droit à la déconnexion</w:t>
      </w:r>
    </w:p>
    <w:p>
      <w:pPr>
        <w:keepLines w:val="0"/>
      </w:pPr>
      <w:r>
        <w:rPr>
          <w:rFonts w:ascii="Noto Sans" w:hAnsi="Noto Sans"/>
          <w:b/>
          <w:color w:val="17324D"/>
          <w:sz w:val="21"/>
        </w:rPr>
        <w:t>Dispositif ou règle de référence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9. Equipements, outils et assistance</w:t>
      </w:r>
    </w:p>
    <w:p>
      <w:pPr>
        <w:pStyle w:val="Heading2"/>
      </w:pPr>
      <w:r>
        <w:rPr>
          <w:rFonts w:ascii="Noto Sans" w:hAnsi="Noto Sans"/>
          <w:sz w:val="21"/>
        </w:rPr>
        <w:t>Equipements prévus</w:t>
      </w:r>
    </w:p>
    <w:p>
      <w:pPr>
        <w:keepLines w:val="0"/>
      </w:pPr>
      <w:r>
        <w:rPr>
          <w:rFonts w:ascii="Noto Sans" w:hAnsi="Noto Sans"/>
          <w:b/>
          <w:color w:val="7A5A00"/>
          <w:sz w:val="20"/>
          <w:shd w:fill="FFF6D8"/>
        </w:rPr>
        <w:t>[ordinateur, écran, téléphone, casque, autre]</w:t>
      </w:r>
    </w:p>
    <w:p>
      <w:pPr>
        <w:pStyle w:val="Heading2"/>
      </w:pPr>
      <w:r>
        <w:rPr>
          <w:rFonts w:ascii="Noto Sans" w:hAnsi="Noto Sans"/>
          <w:sz w:val="21"/>
        </w:rPr>
        <w:t>Matériel personnel</w:t>
      </w:r>
    </w:p>
    <w:p>
      <w:pPr>
        <w:keepLines w:val="0"/>
      </w:pPr>
      <w:r>
        <w:rPr>
          <w:rFonts w:ascii="Noto Sans" w:hAnsi="Noto Sans"/>
          <w:b/>
          <w:color w:val="17324D"/>
          <w:sz w:val="21"/>
        </w:rPr>
        <w:t>Utilisation autorisée :</w:t>
      </w:r>
    </w:p>
    <w:p>
      <w:pPr>
        <w:pStyle w:val="ListBullet"/>
        <w:ind w:left="283"/>
      </w:pPr>
      <w:r>
        <w:rPr>
          <w:rFonts w:ascii="Noto Sans" w:hAnsi="Noto Sans"/>
          <w:b/>
          <w:color w:val="1F9E9A"/>
          <w:sz w:val="21"/>
        </w:rPr>
        <w:t xml:space="preserve">☐ </w:t>
      </w:r>
      <w:r>
        <w:rPr>
          <w:rFonts w:ascii="Noto Sans" w:hAnsi="Noto Sans"/>
          <w:sz w:val="21"/>
        </w:rPr>
        <w:t>Non</w:t>
      </w:r>
    </w:p>
    <w:p>
      <w:pPr>
        <w:pStyle w:val="ListBullet"/>
        <w:ind w:left="283"/>
      </w:pPr>
      <w:r>
        <w:rPr>
          <w:rFonts w:ascii="Noto Sans" w:hAnsi="Noto Sans"/>
          <w:b/>
          <w:color w:val="1F9E9A"/>
          <w:sz w:val="21"/>
        </w:rPr>
        <w:t xml:space="preserve">☐ </w:t>
      </w:r>
      <w:r>
        <w:rPr>
          <w:rFonts w:ascii="Noto Sans" w:hAnsi="Noto Sans"/>
          <w:sz w:val="21"/>
        </w:rPr>
        <w:t xml:space="preserve">Oui, dans les conditions suivantes : </w:t>
      </w:r>
      <w:r>
        <w:rPr>
          <w:rFonts w:ascii="Noto Sans" w:hAnsi="Noto Sans"/>
          <w:b/>
          <w:color w:val="7A5A00"/>
          <w:sz w:val="20"/>
          <w:shd w:fill="FFF6D8"/>
        </w:rPr>
        <w:t>[à compléter]</w:t>
      </w:r>
    </w:p>
    <w:p>
      <w:pPr>
        <w:pStyle w:val="Heading2"/>
      </w:pPr>
      <w:r>
        <w:rPr>
          <w:rFonts w:ascii="Noto Sans" w:hAnsi="Noto Sans"/>
          <w:sz w:val="21"/>
        </w:rPr>
        <w:t>Assistance technique</w:t>
      </w:r>
    </w:p>
    <w:p>
      <w:pPr>
        <w:keepLines w:val="0"/>
      </w:pPr>
      <w:r>
        <w:rPr>
          <w:rFonts w:ascii="Noto Sans" w:hAnsi="Noto Sans"/>
          <w:b/>
          <w:color w:val="17324D"/>
          <w:sz w:val="21"/>
        </w:rPr>
        <w:t>Service ou procédure :</w:t>
      </w:r>
    </w:p>
    <w:p>
      <w:pPr>
        <w:keepLines w:val="0"/>
      </w:pPr>
      <w:r>
        <w:rPr>
          <w:rFonts w:ascii="Noto Sans" w:hAnsi="Noto Sans"/>
          <w:b/>
          <w:color w:val="7A5A00"/>
          <w:sz w:val="20"/>
          <w:shd w:fill="FFF6D8"/>
        </w:rPr>
        <w:t>[à compléter]</w:t>
      </w:r>
    </w:p>
    <w:p>
      <w:pPr>
        <w:pStyle w:val="Heading2"/>
      </w:pPr>
      <w:r>
        <w:rPr>
          <w:rFonts w:ascii="Noto Sans" w:hAnsi="Noto Sans"/>
          <w:sz w:val="21"/>
        </w:rPr>
        <w:t>Outils numériques</w:t>
      </w:r>
    </w:p>
    <w:p>
      <w:pPr>
        <w:keepLines w:val="0"/>
      </w:pPr>
      <w:r>
        <w:rPr>
          <w:rFonts w:ascii="Noto Sans" w:hAnsi="Noto Sans"/>
          <w:b/>
          <w:color w:val="17324D"/>
          <w:sz w:val="21"/>
        </w:rPr>
        <w:t>Communication / visioconférence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LMS / outils pédagogiques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GED / stockage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Outils métier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10. Frais professionnels</w:t>
      </w:r>
    </w:p>
    <w:p>
      <w:pPr>
        <w:keepLines w:val="0"/>
      </w:pPr>
      <w:r>
        <w:rPr>
          <w:rFonts w:ascii="Noto Sans" w:hAnsi="Noto Sans"/>
          <w:sz w:val="21"/>
        </w:rPr>
        <w:t>La prise en charge des frais est organisée selon l'une des modalités prévues par l'accord de branche :</w:t>
      </w:r>
    </w:p>
    <w:p>
      <w:pPr>
        <w:pStyle w:val="ListBullet"/>
      </w:pPr>
      <w:r>
        <w:rPr>
          <w:rFonts w:ascii="Noto Sans" w:hAnsi="Noto Sans"/>
          <w:sz w:val="21"/>
        </w:rPr>
        <w:t>allocation forfaitaire versée par journée de télétravail comptabilisée, dans la limite du plafond social applicable ;</w:t>
      </w:r>
    </w:p>
    <w:p>
      <w:pPr>
        <w:pStyle w:val="ListBullet"/>
      </w:pPr>
      <w:r>
        <w:rPr>
          <w:rFonts w:ascii="Noto Sans" w:hAnsi="Noto Sans"/>
          <w:sz w:val="21"/>
        </w:rPr>
        <w:t>remboursement des frais réellement engagés liés au télétravail.</w:t>
      </w:r>
    </w:p>
    <w:p>
      <w:pPr>
        <w:keepLines w:val="0"/>
      </w:pPr>
      <w:r>
        <w:rPr>
          <w:rFonts w:ascii="Noto Sans" w:hAnsi="Noto Sans"/>
          <w:b/>
          <w:color w:val="17324D"/>
          <w:sz w:val="21"/>
        </w:rPr>
        <w:t>Modalité envisagée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Procédure :</w:t>
      </w:r>
    </w:p>
    <w:p>
      <w:pPr>
        <w:keepLines w:val="0"/>
      </w:pPr>
      <w:r>
        <w:rPr>
          <w:rFonts w:ascii="Noto Sans" w:hAnsi="Noto Sans"/>
          <w:b/>
          <w:color w:val="7A5A00"/>
          <w:sz w:val="20"/>
          <w:shd w:fill="FFF6D8"/>
        </w:rPr>
        <w:t>[à compléter]</w:t>
      </w:r>
    </w:p>
    <w:p>
      <w:pPr>
        <w:keepLines w:val="0"/>
      </w:pPr>
      <w:r>
        <w:rPr>
          <w:rFonts w:ascii="Noto Sans" w:hAnsi="Noto Sans"/>
          <w:b/>
          <w:color w:val="17324D"/>
          <w:sz w:val="21"/>
        </w:rPr>
        <w:t>Informations communiquées aux salariés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11. Santé, sécurité et prévention des risques</w:t>
      </w:r>
    </w:p>
    <w:p>
      <w:pPr>
        <w:keepLines w:val="0"/>
      </w:pPr>
      <w:r>
        <w:rPr>
          <w:rFonts w:ascii="Noto Sans" w:hAnsi="Noto Sans"/>
          <w:sz w:val="21"/>
        </w:rPr>
        <w:t>Le projet de télétravail est intégré à la démarche de prévention des risques professionnels.</w:t>
      </w:r>
    </w:p>
    <w:p>
      <w:pPr>
        <w:pStyle w:val="Heading2"/>
      </w:pPr>
      <w:r>
        <w:rPr>
          <w:rFonts w:ascii="Noto Sans" w:hAnsi="Noto Sans"/>
          <w:sz w:val="21"/>
        </w:rPr>
        <w:t>Risques examinés</w:t>
      </w:r>
    </w:p>
    <w:p>
      <w:pPr>
        <w:pStyle w:val="ListBullet"/>
      </w:pPr>
      <w:r>
        <w:rPr>
          <w:rFonts w:ascii="Noto Sans" w:hAnsi="Noto Sans"/>
          <w:sz w:val="21"/>
        </w:rPr>
        <w:t>installation du poste ;</w:t>
      </w:r>
    </w:p>
    <w:p>
      <w:pPr>
        <w:pStyle w:val="ListBullet"/>
      </w:pPr>
      <w:r>
        <w:rPr>
          <w:rFonts w:ascii="Noto Sans" w:hAnsi="Noto Sans"/>
          <w:sz w:val="21"/>
        </w:rPr>
        <w:t>sédentarité et postures ;</w:t>
      </w:r>
    </w:p>
    <w:p>
      <w:pPr>
        <w:pStyle w:val="ListBullet"/>
      </w:pPr>
      <w:r>
        <w:rPr>
          <w:rFonts w:ascii="Noto Sans" w:hAnsi="Noto Sans"/>
          <w:sz w:val="21"/>
        </w:rPr>
        <w:t>charge de travail ;</w:t>
      </w:r>
    </w:p>
    <w:p>
      <w:pPr>
        <w:pStyle w:val="ListBullet"/>
      </w:pPr>
      <w:r>
        <w:rPr>
          <w:rFonts w:ascii="Noto Sans" w:hAnsi="Noto Sans"/>
          <w:sz w:val="21"/>
        </w:rPr>
        <w:t>hyperconnexion ;</w:t>
      </w:r>
    </w:p>
    <w:p>
      <w:pPr>
        <w:pStyle w:val="ListBullet"/>
      </w:pPr>
      <w:r>
        <w:rPr>
          <w:rFonts w:ascii="Noto Sans" w:hAnsi="Noto Sans"/>
          <w:sz w:val="21"/>
        </w:rPr>
        <w:t>isolement ;</w:t>
      </w:r>
    </w:p>
    <w:p>
      <w:pPr>
        <w:pStyle w:val="ListBullet"/>
      </w:pPr>
      <w:r>
        <w:rPr>
          <w:rFonts w:ascii="Noto Sans" w:hAnsi="Noto Sans"/>
          <w:sz w:val="21"/>
        </w:rPr>
        <w:t>articulation entre vie professionnelle et vie personnelle ;</w:t>
      </w:r>
    </w:p>
    <w:p>
      <w:pPr>
        <w:pStyle w:val="ListBullet"/>
      </w:pPr>
      <w:r>
        <w:rPr>
          <w:rFonts w:ascii="Noto Sans" w:hAnsi="Noto Sans"/>
          <w:sz w:val="21"/>
        </w:rPr>
        <w:t>risques liés aux outils numériques ;</w:t>
      </w:r>
    </w:p>
    <w:p>
      <w:pPr>
        <w:pStyle w:val="ListBullet"/>
      </w:pPr>
      <w:r>
        <w:rPr>
          <w:rFonts w:ascii="Noto Sans" w:hAnsi="Noto Sans"/>
          <w:sz w:val="21"/>
        </w:rPr>
        <w:t xml:space="preserve">autres risques identifiés : </w:t>
      </w:r>
      <w:r>
        <w:rPr>
          <w:rFonts w:ascii="Noto Sans" w:hAnsi="Noto Sans"/>
          <w:b/>
          <w:color w:val="7A5A00"/>
          <w:sz w:val="20"/>
          <w:shd w:fill="FFF6D8"/>
        </w:rPr>
        <w:t>[à compléter]</w:t>
      </w:r>
      <w:r>
        <w:rPr>
          <w:rFonts w:ascii="Noto Sans" w:hAnsi="Noto Sans"/>
          <w:sz w:val="21"/>
        </w:rPr>
        <w:t>.</w:t>
      </w:r>
    </w:p>
    <w:p>
      <w:pPr>
        <w:pStyle w:val="Heading2"/>
      </w:pPr>
      <w:r>
        <w:rPr>
          <w:rFonts w:ascii="Noto Sans" w:hAnsi="Noto Sans"/>
          <w:sz w:val="21"/>
        </w:rPr>
        <w:t>DUERP</w:t>
      </w:r>
    </w:p>
    <w:p>
      <w:pPr>
        <w:keepLines w:val="0"/>
      </w:pPr>
      <w:r>
        <w:rPr>
          <w:rFonts w:ascii="Noto Sans" w:hAnsi="Noto Sans"/>
          <w:b/>
          <w:color w:val="17324D"/>
          <w:sz w:val="21"/>
        </w:rPr>
        <w:t>Le DUERP a-t-il été examiné au regard du projet ?</w:t>
      </w:r>
    </w:p>
    <w:p>
      <w:pPr>
        <w:pStyle w:val="ListBullet"/>
        <w:ind w:left="283"/>
      </w:pPr>
      <w:r>
        <w:rPr>
          <w:rFonts w:ascii="Noto Sans" w:hAnsi="Noto Sans"/>
          <w:b/>
          <w:color w:val="1F9E9A"/>
          <w:sz w:val="21"/>
        </w:rPr>
        <w:t xml:space="preserve">☐ </w:t>
      </w:r>
      <w:r>
        <w:rPr>
          <w:rFonts w:ascii="Noto Sans" w:hAnsi="Noto Sans"/>
          <w:sz w:val="21"/>
        </w:rPr>
        <w:t>Oui</w:t>
      </w:r>
    </w:p>
    <w:p>
      <w:pPr>
        <w:pStyle w:val="ListBullet"/>
        <w:ind w:left="283"/>
      </w:pPr>
      <w:r>
        <w:rPr>
          <w:rFonts w:ascii="Noto Sans" w:hAnsi="Noto Sans"/>
          <w:b/>
          <w:color w:val="1F9E9A"/>
          <w:sz w:val="21"/>
        </w:rPr>
        <w:t xml:space="preserve">☐ </w:t>
      </w:r>
      <w:r>
        <w:rPr>
          <w:rFonts w:ascii="Noto Sans" w:hAnsi="Noto Sans"/>
          <w:sz w:val="21"/>
        </w:rPr>
        <w:t>Mise à jour prévue</w:t>
      </w:r>
    </w:p>
    <w:p>
      <w:pPr>
        <w:pStyle w:val="ListBullet"/>
        <w:ind w:left="283"/>
      </w:pPr>
      <w:r>
        <w:rPr>
          <w:rFonts w:ascii="Noto Sans" w:hAnsi="Noto Sans"/>
          <w:b/>
          <w:color w:val="1F9E9A"/>
          <w:sz w:val="21"/>
        </w:rPr>
        <w:t xml:space="preserve">☐ </w:t>
      </w:r>
      <w:r>
        <w:rPr>
          <w:rFonts w:ascii="Noto Sans" w:hAnsi="Noto Sans"/>
          <w:sz w:val="21"/>
        </w:rPr>
        <w:t xml:space="preserve">Autre : </w:t>
      </w:r>
      <w:r>
        <w:rPr>
          <w:rFonts w:ascii="Noto Sans" w:hAnsi="Noto Sans"/>
          <w:b/>
          <w:color w:val="7A5A00"/>
          <w:sz w:val="20"/>
          <w:shd w:fill="FFF6D8"/>
        </w:rPr>
        <w:t>[à préciser]</w:t>
      </w:r>
    </w:p>
    <w:p>
      <w:pPr>
        <w:keepLines w:val="0"/>
      </w:pPr>
      <w:r>
        <w:rPr>
          <w:rFonts w:ascii="Noto Sans" w:hAnsi="Noto Sans"/>
          <w:b/>
          <w:color w:val="17324D"/>
          <w:sz w:val="21"/>
        </w:rPr>
        <w:t>Actions de prévention envisagées :</w:t>
      </w:r>
    </w:p>
    <w:p>
      <w:pPr>
        <w:keepLines w:val="0"/>
      </w:pPr>
      <w:r>
        <w:rPr>
          <w:rFonts w:ascii="Noto Sans" w:hAnsi="Noto Sans"/>
          <w:b/>
          <w:color w:val="7A5A00"/>
          <w:sz w:val="20"/>
          <w:shd w:fill="FFF6D8"/>
        </w:rPr>
        <w:t>[Zone à compléter]</w:t>
      </w:r>
    </w:p>
    <w:p>
      <w:pPr>
        <w:pStyle w:val="Heading2"/>
      </w:pPr>
      <w:r>
        <w:rPr>
          <w:rFonts w:ascii="Noto Sans" w:hAnsi="Noto Sans"/>
          <w:sz w:val="21"/>
        </w:rPr>
        <w:t>Signalement des difficultés</w:t>
      </w:r>
    </w:p>
    <w:p>
      <w:pPr>
        <w:keepLines w:val="0"/>
      </w:pPr>
      <w:r>
        <w:rPr>
          <w:rFonts w:ascii="Noto Sans" w:hAnsi="Noto Sans"/>
          <w:b/>
          <w:color w:val="17324D"/>
          <w:sz w:val="21"/>
        </w:rPr>
        <w:t>Interlocuteurs ou procédures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12. Formation et accompagnement</w:t>
      </w:r>
    </w:p>
    <w:p>
      <w:pPr>
        <w:keepLines w:val="0"/>
      </w:pPr>
      <w:r>
        <w:rPr>
          <w:rFonts w:ascii="Noto Sans" w:hAnsi="Noto Sans"/>
          <w:sz w:val="21"/>
        </w:rPr>
        <w:t>Les salariés qui télétravaillent de manière régulière reçoivent une formation appropriée portant notamment sur les équipements techniques mis à leur disposition et les caractéristiques de cette organisation du travail.</w:t>
      </w:r>
    </w:p>
    <w:p>
      <w:pPr>
        <w:keepLines w:val="0"/>
      </w:pPr>
      <w:r>
        <w:rPr>
          <w:rFonts w:ascii="Noto Sans" w:hAnsi="Noto Sans"/>
          <w:b/>
          <w:color w:val="17324D"/>
          <w:sz w:val="21"/>
        </w:rPr>
        <w:t>Dispositif prévu :</w:t>
      </w:r>
    </w:p>
    <w:p>
      <w:pPr>
        <w:keepLines w:val="0"/>
      </w:pPr>
      <w:r>
        <w:rPr>
          <w:rFonts w:ascii="Noto Sans" w:hAnsi="Noto Sans"/>
          <w:b/>
          <w:color w:val="7A5A00"/>
          <w:sz w:val="20"/>
          <w:shd w:fill="FFF6D8"/>
        </w:rPr>
        <w:t>[à compléter]</w:t>
      </w:r>
    </w:p>
    <w:p>
      <w:pPr>
        <w:keepLines w:val="0"/>
      </w:pPr>
      <w:r>
        <w:rPr>
          <w:rFonts w:ascii="Noto Sans" w:hAnsi="Noto Sans"/>
          <w:sz w:val="21"/>
        </w:rPr>
        <w:t>L'entreprise peut également prévoir un accompagnement des responsables et des équipes sur le travail hybride.</w:t>
      </w:r>
    </w:p>
    <w:p>
      <w:pPr>
        <w:keepLines w:val="0"/>
      </w:pPr>
      <w:r>
        <w:rPr>
          <w:rFonts w:ascii="Noto Sans" w:hAnsi="Noto Sans"/>
          <w:b/>
          <w:color w:val="17324D"/>
          <w:sz w:val="21"/>
        </w:rPr>
        <w:t>Actions envisagées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13. Situations particulières</w:t>
      </w:r>
    </w:p>
    <w:p>
      <w:pPr>
        <w:keepLines w:val="0"/>
      </w:pPr>
      <w:r>
        <w:rPr>
          <w:rFonts w:ascii="Noto Sans" w:hAnsi="Noto Sans"/>
          <w:sz w:val="21"/>
        </w:rPr>
        <w:t>Le projet précise les modalités d'accès au télétravail pour les situations prévues par le Code du travail et l'accord de branche.</w:t>
      </w:r>
    </w:p>
    <w:p>
      <w:pPr>
        <w:pStyle w:val="Heading2"/>
      </w:pPr>
      <w:r>
        <w:rPr>
          <w:rFonts w:ascii="Noto Sans" w:hAnsi="Noto Sans"/>
          <w:sz w:val="21"/>
        </w:rPr>
        <w:t>Salariées enceintes</w:t>
      </w:r>
    </w:p>
    <w:p>
      <w:pPr>
        <w:keepLines w:val="0"/>
      </w:pPr>
      <w:r>
        <w:rPr>
          <w:rFonts w:ascii="Noto Sans" w:hAnsi="Noto Sans"/>
          <w:b/>
          <w:color w:val="17324D"/>
          <w:sz w:val="21"/>
        </w:rPr>
        <w:t>Modalités :</w:t>
      </w:r>
    </w:p>
    <w:p>
      <w:pPr>
        <w:keepLines w:val="0"/>
      </w:pPr>
      <w:r>
        <w:rPr>
          <w:rFonts w:ascii="Noto Sans" w:hAnsi="Noto Sans"/>
          <w:b/>
          <w:color w:val="7A5A00"/>
          <w:sz w:val="20"/>
          <w:shd w:fill="FFF6D8"/>
        </w:rPr>
        <w:t>[à compléter]</w:t>
      </w:r>
    </w:p>
    <w:p>
      <w:pPr>
        <w:pStyle w:val="Heading2"/>
      </w:pPr>
      <w:r>
        <w:rPr>
          <w:rFonts w:ascii="Noto Sans" w:hAnsi="Noto Sans"/>
          <w:sz w:val="21"/>
        </w:rPr>
        <w:t>Travailleurs handicapés</w:t>
      </w:r>
    </w:p>
    <w:p>
      <w:pPr>
        <w:keepLines w:val="0"/>
      </w:pPr>
      <w:r>
        <w:rPr>
          <w:b/>
          <w:color w:val="17324D"/>
        </w:rPr>
        <w:t>Mesures appropriées et accessibilité du poste en télétravail conformément à l'article L. 5213-6 du Code du travail :</w:t>
      </w:r>
      <w:r/>
    </w:p>
    <w:p>
      <w:pPr>
        <w:keepLines w:val="0"/>
      </w:pPr>
      <w:r>
        <w:rPr>
          <w:rFonts w:ascii="Noto Sans" w:hAnsi="Noto Sans"/>
          <w:b/>
          <w:color w:val="7A5A00"/>
          <w:sz w:val="20"/>
          <w:shd w:fill="FFF6D8"/>
        </w:rPr>
        <w:t>[à compléter]</w:t>
      </w:r>
    </w:p>
    <w:p>
      <w:r>
        <w:rPr>
          <w:b/>
          <w:color w:val="17324D"/>
        </w:rPr>
        <w:t>Modalités de demande, d'examen et de réponse :</w:t>
      </w:r>
      <w:r>
        <w:t xml:space="preserve"> </w:t>
      </w:r>
      <w:r>
        <w:rPr>
          <w:b/>
          <w:color w:val="7A5A00"/>
        </w:rPr>
        <w:t>[à compléter]</w:t>
      </w:r>
    </w:p>
    <w:p>
      <w:pPr>
        <w:pStyle w:val="Heading2"/>
      </w:pPr>
      <w:r>
        <w:rPr>
          <w:rFonts w:ascii="Noto Sans" w:hAnsi="Noto Sans"/>
          <w:sz w:val="21"/>
        </w:rPr>
        <w:t>Salariés aidants d'un enfant, d'un parent ou d'un proche</w:t>
      </w:r>
    </w:p>
    <w:p>
      <w:pPr>
        <w:keepLines w:val="0"/>
      </w:pPr>
      <w:r>
        <w:rPr>
          <w:rFonts w:ascii="Noto Sans" w:hAnsi="Noto Sans"/>
          <w:b/>
          <w:color w:val="17324D"/>
          <w:sz w:val="21"/>
        </w:rPr>
        <w:t>Modalités :</w:t>
      </w:r>
    </w:p>
    <w:p>
      <w:pPr>
        <w:keepLines w:val="0"/>
      </w:pPr>
      <w:r>
        <w:rPr>
          <w:rFonts w:ascii="Noto Sans" w:hAnsi="Noto Sans"/>
          <w:b/>
          <w:color w:val="7A5A00"/>
          <w:sz w:val="20"/>
          <w:shd w:fill="FFF6D8"/>
        </w:rPr>
        <w:t>[à compléter]</w:t>
      </w:r>
    </w:p>
    <w:p>
      <w:pPr>
        <w:pStyle w:val="Heading2"/>
      </w:pPr>
      <w:r>
        <w:rPr>
          <w:rFonts w:ascii="Noto Sans" w:hAnsi="Noto Sans"/>
          <w:sz w:val="21"/>
        </w:rPr>
        <w:t>Autres situations prises en compte par l'entreprise</w:t>
      </w:r>
    </w:p>
    <w:p>
      <w:pPr>
        <w:keepLines w:val="0"/>
      </w:pPr>
      <w:r>
        <w:rPr>
          <w:rFonts w:ascii="Noto Sans" w:hAnsi="Noto Sans"/>
          <w:b/>
          <w:color w:val="7A5A00"/>
          <w:sz w:val="20"/>
          <w:shd w:fill="FFF6D8"/>
        </w:rPr>
        <w:t>[Ex. : nouveaux salariés, alternants, maintien dans l'emploi]</w:t>
      </w:r>
    </w:p>
    <w:p>
      <w:pPr>
        <w:keepLines w:val="0"/>
      </w:pPr>
      <w:r>
        <w:rPr>
          <w:rFonts w:ascii="Noto Sans" w:hAnsi="Noto Sans"/>
          <w:b/>
          <w:color w:val="7A5A00"/>
          <w:sz w:val="20"/>
          <w:shd w:fill="FFF6D8"/>
        </w:rPr>
        <w:t>[Zone à compléter]</w:t>
      </w:r>
    </w:p>
    <w:p>
      <w:pPr>
        <w:spacing w:before="40" w:after="80"/>
        <w:pBdr>
          <w:bottom w:val="single" w:sz="4" w:color="D7E2E6"/>
        </w:pBdr>
      </w:pPr>
    </w:p>
    <w:p>
      <w:pPr>
        <w:pStyle w:val="Heading1"/>
      </w:pPr>
      <w:r>
        <w:rPr>
          <w:rFonts w:ascii="Noto Sans" w:hAnsi="Noto Sans"/>
          <w:sz w:val="21"/>
        </w:rPr>
        <w:t>14. Spécificités des organismes de formation</w:t>
      </w:r>
    </w:p>
    <w:p>
      <w:pPr>
        <w:keepLines w:val="0"/>
      </w:pPr>
      <w:r>
        <w:rPr>
          <w:rFonts w:ascii="Noto Sans" w:hAnsi="Noto Sans"/>
          <w:sz w:val="21"/>
        </w:rPr>
        <w:t>Le projet prend en compte les contraintes et obligations propres aux activités de formation.</w:t>
      </w:r>
    </w:p>
    <w:p>
      <w:pPr>
        <w:pStyle w:val="Heading2"/>
      </w:pPr>
      <w:r>
        <w:rPr>
          <w:rFonts w:ascii="Noto Sans" w:hAnsi="Noto Sans"/>
          <w:sz w:val="21"/>
        </w:rPr>
        <w:t>Continuité pédagogique</w:t>
      </w:r>
    </w:p>
    <w:p>
      <w:pPr>
        <w:keepLines w:val="0"/>
      </w:pPr>
      <w:r>
        <w:rPr>
          <w:rFonts w:ascii="Noto Sans" w:hAnsi="Noto Sans"/>
          <w:b/>
          <w:color w:val="7A5A00"/>
          <w:sz w:val="20"/>
          <w:shd w:fill="FFF6D8"/>
        </w:rPr>
        <w:t>[modalités à compléter]</w:t>
      </w:r>
    </w:p>
    <w:p>
      <w:pPr>
        <w:pStyle w:val="Heading2"/>
      </w:pPr>
      <w:r>
        <w:rPr>
          <w:rFonts w:ascii="Noto Sans" w:hAnsi="Noto Sans"/>
          <w:sz w:val="21"/>
        </w:rPr>
        <w:t>Formateurs</w:t>
      </w:r>
    </w:p>
    <w:p>
      <w:pPr>
        <w:keepLines w:val="0"/>
      </w:pPr>
      <w:r>
        <w:rPr>
          <w:rFonts w:ascii="Noto Sans" w:hAnsi="Noto Sans"/>
          <w:sz w:val="21"/>
        </w:rPr>
        <w:t>Préciser, lorsque cela est pertinent :</w:t>
      </w:r>
    </w:p>
    <w:p>
      <w:pPr>
        <w:pStyle w:val="ListBullet"/>
      </w:pPr>
      <w:r>
        <w:rPr>
          <w:rFonts w:ascii="Noto Sans" w:hAnsi="Noto Sans"/>
          <w:sz w:val="21"/>
        </w:rPr>
        <w:t>les activités pédagogiques télétravaillables ;</w:t>
      </w:r>
    </w:p>
    <w:p>
      <w:pPr>
        <w:pStyle w:val="ListBullet"/>
      </w:pPr>
      <w:r>
        <w:rPr>
          <w:rFonts w:ascii="Noto Sans" w:hAnsi="Noto Sans"/>
          <w:sz w:val="21"/>
        </w:rPr>
        <w:t>les situations nécessitant une présence ;</w:t>
      </w:r>
    </w:p>
    <w:p>
      <w:pPr>
        <w:pStyle w:val="ListBullet"/>
      </w:pPr>
      <w:r>
        <w:rPr>
          <w:rFonts w:ascii="Noto Sans" w:hAnsi="Noto Sans"/>
          <w:sz w:val="21"/>
        </w:rPr>
        <w:t>les modalités de coordination ;</w:t>
      </w:r>
    </w:p>
    <w:p>
      <w:pPr>
        <w:pStyle w:val="ListBullet"/>
      </w:pPr>
      <w:r>
        <w:rPr>
          <w:rFonts w:ascii="Noto Sans" w:hAnsi="Noto Sans"/>
          <w:sz w:val="21"/>
        </w:rPr>
        <w:t>l'accès aux outils et ressources.</w:t>
      </w:r>
    </w:p>
    <w:p>
      <w:pPr>
        <w:pStyle w:val="Heading2"/>
      </w:pPr>
      <w:r>
        <w:rPr>
          <w:rFonts w:ascii="Noto Sans" w:hAnsi="Noto Sans"/>
          <w:sz w:val="21"/>
        </w:rPr>
        <w:t>Classes virtuelles et FOAD</w:t>
      </w:r>
    </w:p>
    <w:p>
      <w:pPr>
        <w:keepLines w:val="0"/>
      </w:pPr>
      <w:r>
        <w:rPr>
          <w:rFonts w:ascii="Noto Sans" w:hAnsi="Noto Sans"/>
          <w:sz w:val="21"/>
        </w:rPr>
        <w:t>Le télétravail du salarié est distingué des exigences applicables à la réalisation d'une action de formation à distance.</w:t>
      </w:r>
    </w:p>
    <w:p>
      <w:pPr>
        <w:keepLines w:val="0"/>
      </w:pPr>
      <w:r>
        <w:rPr>
          <w:rFonts w:ascii="Noto Sans" w:hAnsi="Noto Sans"/>
          <w:b/>
          <w:color w:val="17324D"/>
          <w:sz w:val="21"/>
        </w:rPr>
        <w:t>Procédures concernées :</w:t>
      </w:r>
    </w:p>
    <w:p>
      <w:pPr>
        <w:keepLines w:val="0"/>
      </w:pPr>
      <w:r>
        <w:rPr>
          <w:rFonts w:ascii="Noto Sans" w:hAnsi="Noto Sans"/>
          <w:b/>
          <w:color w:val="7A5A00"/>
          <w:sz w:val="20"/>
          <w:shd w:fill="FFF6D8"/>
        </w:rPr>
        <w:t>[à compléter]</w:t>
      </w:r>
    </w:p>
    <w:p>
      <w:pPr>
        <w:pStyle w:val="Heading2"/>
      </w:pPr>
      <w:r>
        <w:rPr>
          <w:rFonts w:ascii="Noto Sans" w:hAnsi="Noto Sans"/>
          <w:sz w:val="21"/>
        </w:rPr>
        <w:t>Traçabilité et qualité</w:t>
      </w:r>
    </w:p>
    <w:p>
      <w:pPr>
        <w:keepLines w:val="0"/>
      </w:pPr>
      <w:r>
        <w:rPr>
          <w:rFonts w:ascii="Noto Sans" w:hAnsi="Noto Sans"/>
          <w:b/>
          <w:color w:val="17324D"/>
          <w:sz w:val="21"/>
        </w:rPr>
        <w:t>Règles ou outils concernés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15. Protection des données et confidentialité</w:t>
      </w:r>
    </w:p>
    <w:p>
      <w:pPr>
        <w:keepLines w:val="0"/>
      </w:pPr>
      <w:r>
        <w:rPr>
          <w:rFonts w:ascii="Noto Sans" w:hAnsi="Noto Sans"/>
          <w:sz w:val="21"/>
        </w:rPr>
        <w:t>Le projet prévoit notamment :</w:t>
      </w:r>
    </w:p>
    <w:p>
      <w:pPr>
        <w:pStyle w:val="ListBullet"/>
      </w:pPr>
      <w:r>
        <w:rPr>
          <w:rFonts w:ascii="Noto Sans" w:hAnsi="Noto Sans"/>
          <w:sz w:val="21"/>
        </w:rPr>
        <w:t>l'utilisation d'outils autorisés ;</w:t>
      </w:r>
    </w:p>
    <w:p>
      <w:pPr>
        <w:pStyle w:val="ListBullet"/>
      </w:pPr>
      <w:r>
        <w:rPr>
          <w:rFonts w:ascii="Noto Sans" w:hAnsi="Noto Sans"/>
          <w:sz w:val="21"/>
        </w:rPr>
        <w:t>la sécurisation des accès ;</w:t>
      </w:r>
    </w:p>
    <w:p>
      <w:pPr>
        <w:pStyle w:val="ListBullet"/>
      </w:pPr>
      <w:r>
        <w:rPr>
          <w:rFonts w:ascii="Noto Sans" w:hAnsi="Noto Sans"/>
          <w:sz w:val="21"/>
        </w:rPr>
        <w:t>des règles de stockage ;</w:t>
      </w:r>
    </w:p>
    <w:p>
      <w:pPr>
        <w:pStyle w:val="ListBullet"/>
      </w:pPr>
      <w:r>
        <w:rPr>
          <w:rFonts w:ascii="Noto Sans" w:hAnsi="Noto Sans"/>
          <w:sz w:val="21"/>
        </w:rPr>
        <w:t>la protection des données apprenants ;</w:t>
      </w:r>
    </w:p>
    <w:p>
      <w:pPr>
        <w:pStyle w:val="ListBullet"/>
      </w:pPr>
      <w:r>
        <w:rPr>
          <w:rFonts w:ascii="Noto Sans" w:hAnsi="Noto Sans"/>
          <w:sz w:val="21"/>
        </w:rPr>
        <w:t>la confidentialité des échanges ;</w:t>
      </w:r>
    </w:p>
    <w:p>
      <w:pPr>
        <w:pStyle w:val="ListBullet"/>
      </w:pPr>
      <w:r>
        <w:rPr>
          <w:rFonts w:ascii="Noto Sans" w:hAnsi="Noto Sans"/>
          <w:sz w:val="21"/>
        </w:rPr>
        <w:t>une procédure de signalement des incidents.</w:t>
      </w:r>
    </w:p>
    <w:p>
      <w:pPr>
        <w:keepLines w:val="0"/>
      </w:pPr>
      <w:r>
        <w:rPr>
          <w:rFonts w:ascii="Noto Sans" w:hAnsi="Noto Sans"/>
          <w:b/>
          <w:color w:val="17324D"/>
          <w:sz w:val="21"/>
        </w:rPr>
        <w:t>Documents internes applicables :</w:t>
      </w:r>
    </w:p>
    <w:p>
      <w:pPr>
        <w:keepLines w:val="0"/>
      </w:pPr>
      <w:r>
        <w:rPr>
          <w:rFonts w:ascii="Noto Sans" w:hAnsi="Noto Sans"/>
          <w:b/>
          <w:color w:val="7A5A00"/>
          <w:sz w:val="20"/>
          <w:shd w:fill="FFF6D8"/>
        </w:rPr>
        <w:t>[charte informatique / politique RGPD / procédures / autre]</w:t>
      </w:r>
    </w:p>
    <w:p>
      <w:pPr>
        <w:keepLines w:val="0"/>
      </w:pPr>
      <w:r>
        <w:rPr>
          <w:rFonts w:ascii="Noto Sans" w:hAnsi="Noto Sans"/>
          <w:b/>
          <w:color w:val="17324D"/>
          <w:sz w:val="21"/>
        </w:rPr>
        <w:t>Mesures particulières prévues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16. Maintien du collectif de travail</w:t>
      </w:r>
    </w:p>
    <w:p>
      <w:pPr>
        <w:keepLines w:val="0"/>
      </w:pPr>
      <w:r>
        <w:rPr>
          <w:rFonts w:ascii="Noto Sans" w:hAnsi="Noto Sans"/>
          <w:sz w:val="21"/>
        </w:rPr>
        <w:t>Afin de prévenir l'isolement et de maintenir le lien professionnel, les mesures suivantes sont envisagées :</w:t>
      </w:r>
    </w:p>
    <w:p>
      <w:pPr>
        <w:pStyle w:val="ListBullet"/>
      </w:pPr>
      <w:r>
        <w:rPr>
          <w:rFonts w:ascii="Noto Sans" w:hAnsi="Noto Sans"/>
          <w:sz w:val="21"/>
        </w:rPr>
        <w:t>réunions d'équipe ;</w:t>
      </w:r>
    </w:p>
    <w:p>
      <w:pPr>
        <w:pStyle w:val="ListBullet"/>
      </w:pPr>
      <w:r>
        <w:rPr>
          <w:rFonts w:ascii="Noto Sans" w:hAnsi="Noto Sans"/>
          <w:sz w:val="21"/>
        </w:rPr>
        <w:t>temps de présence collective ;</w:t>
      </w:r>
    </w:p>
    <w:p>
      <w:pPr>
        <w:pStyle w:val="ListBullet"/>
      </w:pPr>
      <w:r>
        <w:rPr>
          <w:rFonts w:ascii="Noto Sans" w:hAnsi="Noto Sans"/>
          <w:sz w:val="21"/>
        </w:rPr>
        <w:t>points individuels ;</w:t>
      </w:r>
    </w:p>
    <w:p>
      <w:pPr>
        <w:pStyle w:val="ListBullet"/>
      </w:pPr>
      <w:r>
        <w:rPr>
          <w:rFonts w:ascii="Noto Sans" w:hAnsi="Noto Sans"/>
          <w:sz w:val="21"/>
        </w:rPr>
        <w:t>accès aux informations de l'entreprise ;</w:t>
      </w:r>
    </w:p>
    <w:p>
      <w:pPr>
        <w:pStyle w:val="ListBullet"/>
      </w:pPr>
      <w:r>
        <w:rPr>
          <w:rFonts w:ascii="Noto Sans" w:hAnsi="Noto Sans"/>
          <w:sz w:val="21"/>
        </w:rPr>
        <w:t>accès aux représentants du personnel ;</w:t>
      </w:r>
    </w:p>
    <w:p>
      <w:pPr>
        <w:pStyle w:val="ListBullet"/>
      </w:pPr>
      <w:r>
        <w:rPr>
          <w:rFonts w:ascii="Noto Sans" w:hAnsi="Noto Sans"/>
          <w:sz w:val="21"/>
        </w:rPr>
        <w:t xml:space="preserve">autres mesures : </w:t>
      </w:r>
      <w:r>
        <w:rPr>
          <w:rFonts w:ascii="Noto Sans" w:hAnsi="Noto Sans"/>
          <w:b/>
          <w:color w:val="7A5A00"/>
          <w:sz w:val="20"/>
          <w:shd w:fill="FFF6D8"/>
        </w:rPr>
        <w:t>[à préciser]</w:t>
      </w:r>
      <w:r>
        <w:rPr>
          <w:rFonts w:ascii="Noto Sans" w:hAnsi="Noto Sans"/>
          <w:sz w:val="21"/>
        </w:rPr>
        <w:t>.</w:t>
      </w:r>
    </w:p>
    <w:p>
      <w:pPr>
        <w:keepLines w:val="0"/>
      </w:pPr>
      <w:r>
        <w:rPr>
          <w:rFonts w:ascii="Noto Sans" w:hAnsi="Noto Sans"/>
          <w:b/>
          <w:color w:val="17324D"/>
          <w:sz w:val="21"/>
        </w:rPr>
        <w:t>Organisation retenue :</w:t>
      </w:r>
    </w:p>
    <w:p>
      <w:pPr>
        <w:keepLines w:val="0"/>
      </w:pPr>
      <w:r>
        <w:rPr>
          <w:rFonts w:ascii="Noto Sans" w:hAnsi="Noto Sans"/>
          <w:b/>
          <w:color w:val="7A5A00"/>
          <w:sz w:val="20"/>
          <w:shd w:fill="FFF6D8"/>
        </w:rPr>
        <w:t>[à compléter]</w:t>
      </w:r>
    </w:p>
    <w:p>
      <w:pPr>
        <w:spacing w:before="40" w:after="80"/>
        <w:pBdr>
          <w:bottom w:val="single" w:sz="4" w:color="D7E2E6"/>
        </w:pBdr>
      </w:pPr>
    </w:p>
    <w:p>
      <w:pPr>
        <w:pStyle w:val="Heading1"/>
      </w:pPr>
      <w:r>
        <w:rPr>
          <w:rFonts w:ascii="Noto Sans" w:hAnsi="Noto Sans"/>
          <w:sz w:val="21"/>
        </w:rPr>
        <w:t>17. Documents transmis au CSE</w:t>
      </w:r>
    </w:p>
    <w:p>
      <w:pPr>
        <w:keepLines w:val="0"/>
      </w:pPr>
      <w:r>
        <w:rPr>
          <w:rFonts w:ascii="Noto Sans" w:hAnsi="Noto Sans"/>
          <w:sz w:val="21"/>
        </w:rPr>
        <w:t>Cocher ou adapter selon le projet :</w:t>
      </w:r>
    </w:p>
    <w:p>
      <w:pPr>
        <w:pStyle w:val="ListBullet"/>
        <w:ind w:left="283"/>
      </w:pPr>
      <w:r>
        <w:rPr>
          <w:rFonts w:ascii="Noto Sans" w:hAnsi="Noto Sans"/>
          <w:b/>
          <w:color w:val="1F9E9A"/>
          <w:sz w:val="21"/>
        </w:rPr>
        <w:t xml:space="preserve">☐ </w:t>
      </w:r>
      <w:r>
        <w:rPr>
          <w:rFonts w:ascii="Noto Sans" w:hAnsi="Noto Sans"/>
          <w:sz w:val="21"/>
        </w:rPr>
        <w:t>Projet de charte télétravail</w:t>
      </w:r>
    </w:p>
    <w:p>
      <w:pPr>
        <w:pStyle w:val="ListBullet"/>
        <w:ind w:left="283"/>
      </w:pPr>
      <w:r>
        <w:rPr>
          <w:rFonts w:ascii="Noto Sans" w:hAnsi="Noto Sans"/>
          <w:b/>
          <w:color w:val="1F9E9A"/>
          <w:sz w:val="21"/>
        </w:rPr>
        <w:t xml:space="preserve">☐ </w:t>
      </w:r>
      <w:r>
        <w:rPr>
          <w:rFonts w:ascii="Noto Sans" w:hAnsi="Noto Sans"/>
          <w:sz w:val="21"/>
        </w:rPr>
        <w:t>Présentation du projet et de ses objectifs</w:t>
      </w:r>
    </w:p>
    <w:p>
      <w:pPr>
        <w:pStyle w:val="ListBullet"/>
        <w:ind w:left="283"/>
      </w:pPr>
      <w:r>
        <w:rPr>
          <w:rFonts w:ascii="Noto Sans" w:hAnsi="Noto Sans"/>
          <w:b/>
          <w:color w:val="1F9E9A"/>
          <w:sz w:val="21"/>
        </w:rPr>
        <w:t xml:space="preserve">☐ </w:t>
      </w:r>
      <w:r>
        <w:rPr>
          <w:rFonts w:ascii="Noto Sans" w:hAnsi="Noto Sans"/>
          <w:sz w:val="21"/>
        </w:rPr>
        <w:t>Critères d'éligibilité</w:t>
      </w:r>
    </w:p>
    <w:p>
      <w:pPr>
        <w:pStyle w:val="ListBullet"/>
        <w:ind w:left="283"/>
      </w:pPr>
      <w:r>
        <w:rPr>
          <w:rFonts w:ascii="Noto Sans" w:hAnsi="Noto Sans"/>
          <w:b/>
          <w:color w:val="1F9E9A"/>
          <w:sz w:val="21"/>
        </w:rPr>
        <w:t xml:space="preserve">☐ </w:t>
      </w:r>
      <w:r>
        <w:rPr>
          <w:rFonts w:ascii="Noto Sans" w:hAnsi="Noto Sans"/>
          <w:sz w:val="21"/>
        </w:rPr>
        <w:t>Modalités de prise en charge des frais</w:t>
      </w:r>
    </w:p>
    <w:p>
      <w:pPr>
        <w:pStyle w:val="ListBullet"/>
        <w:ind w:left="283"/>
      </w:pPr>
      <w:r>
        <w:rPr>
          <w:rFonts w:ascii="Noto Sans" w:hAnsi="Noto Sans"/>
          <w:b/>
          <w:color w:val="1F9E9A"/>
          <w:sz w:val="21"/>
        </w:rPr>
        <w:t xml:space="preserve">☐ </w:t>
      </w:r>
      <w:r>
        <w:rPr>
          <w:rFonts w:ascii="Noto Sans" w:hAnsi="Noto Sans"/>
          <w:sz w:val="21"/>
        </w:rPr>
        <w:t>Eléments relatifs aux équipements et outils</w:t>
      </w:r>
    </w:p>
    <w:p>
      <w:pPr>
        <w:pStyle w:val="ListBullet"/>
        <w:ind w:left="283"/>
      </w:pPr>
      <w:r>
        <w:rPr>
          <w:rFonts w:ascii="Noto Sans" w:hAnsi="Noto Sans"/>
          <w:b/>
          <w:color w:val="1F9E9A"/>
          <w:sz w:val="21"/>
        </w:rPr>
        <w:t xml:space="preserve">☐ </w:t>
      </w:r>
      <w:r>
        <w:rPr>
          <w:rFonts w:ascii="Noto Sans" w:hAnsi="Noto Sans"/>
          <w:sz w:val="21"/>
        </w:rPr>
        <w:t>Eléments de prévention / DUERP</w:t>
      </w:r>
    </w:p>
    <w:p>
      <w:pPr>
        <w:pStyle w:val="ListBullet"/>
        <w:ind w:left="283"/>
      </w:pPr>
      <w:r>
        <w:rPr>
          <w:rFonts w:ascii="Noto Sans" w:hAnsi="Noto Sans"/>
          <w:b/>
          <w:color w:val="1F9E9A"/>
          <w:sz w:val="21"/>
        </w:rPr>
        <w:t xml:space="preserve">☐ </w:t>
      </w:r>
      <w:r>
        <w:rPr>
          <w:rFonts w:ascii="Noto Sans" w:hAnsi="Noto Sans"/>
          <w:sz w:val="21"/>
        </w:rPr>
        <w:t>Fiche individuelle d'acceptation et de paramétrage</w:t>
      </w:r>
    </w:p>
    <w:p>
      <w:pPr>
        <w:pStyle w:val="ListBullet"/>
        <w:ind w:left="283"/>
      </w:pPr>
      <w:r>
        <w:rPr>
          <w:rFonts w:ascii="Noto Sans" w:hAnsi="Noto Sans"/>
          <w:b/>
          <w:color w:val="1F9E9A"/>
          <w:sz w:val="21"/>
        </w:rPr>
        <w:t xml:space="preserve">☐ </w:t>
      </w:r>
      <w:r>
        <w:rPr>
          <w:rFonts w:ascii="Noto Sans" w:hAnsi="Noto Sans"/>
          <w:sz w:val="21"/>
        </w:rPr>
        <w:t>Procédures FOAD pertinentes</w:t>
      </w:r>
    </w:p>
    <w:p>
      <w:pPr>
        <w:pStyle w:val="ListBullet"/>
        <w:ind w:left="283"/>
      </w:pPr>
      <w:r>
        <w:rPr>
          <w:rFonts w:ascii="Noto Sans" w:hAnsi="Noto Sans"/>
          <w:b/>
          <w:color w:val="1F9E9A"/>
          <w:sz w:val="21"/>
        </w:rPr>
        <w:t xml:space="preserve">☐ </w:t>
      </w:r>
      <w:r>
        <w:rPr>
          <w:rFonts w:ascii="Noto Sans" w:hAnsi="Noto Sans"/>
          <w:sz w:val="21"/>
        </w:rPr>
        <w:t>Règles RGPD / sécurité informatique</w:t>
      </w:r>
    </w:p>
    <w:p>
      <w:pPr>
        <w:pStyle w:val="ListBullet"/>
        <w:ind w:left="283"/>
      </w:pPr>
      <w:r>
        <w:rPr>
          <w:rFonts w:ascii="Noto Sans" w:hAnsi="Noto Sans"/>
          <w:b/>
          <w:color w:val="1F9E9A"/>
          <w:sz w:val="21"/>
        </w:rPr>
        <w:t xml:space="preserve">☐ </w:t>
      </w:r>
      <w:r>
        <w:rPr>
          <w:rFonts w:ascii="Noto Sans" w:hAnsi="Noto Sans"/>
          <w:sz w:val="21"/>
        </w:rPr>
        <w:t>Données ou bilan des pratiques existantes</w:t>
      </w:r>
    </w:p>
    <w:p>
      <w:pPr>
        <w:pStyle w:val="ListBullet"/>
        <w:ind w:left="283"/>
      </w:pPr>
      <w:r>
        <w:rPr>
          <w:rFonts w:ascii="Noto Sans" w:hAnsi="Noto Sans"/>
          <w:b/>
          <w:color w:val="1F9E9A"/>
          <w:sz w:val="21"/>
        </w:rPr>
        <w:t xml:space="preserve">☐ </w:t>
      </w:r>
      <w:r>
        <w:rPr>
          <w:rFonts w:ascii="Noto Sans" w:hAnsi="Noto Sans"/>
          <w:sz w:val="21"/>
        </w:rPr>
        <w:t xml:space="preserve">Autres : </w:t>
      </w:r>
      <w:r>
        <w:rPr>
          <w:rFonts w:ascii="Noto Sans" w:hAnsi="Noto Sans"/>
          <w:b/>
          <w:color w:val="7A5A00"/>
          <w:sz w:val="20"/>
          <w:shd w:fill="FFF6D8"/>
        </w:rPr>
        <w:t>[à préciser]</w:t>
      </w:r>
    </w:p>
    <w:tbl>
      <w:tblPr>
        <w:tblW w:type="auto" w:w="0"/>
        <w:jc w:val="center"/>
        <w:tblLayout w:type="autofit"/>
        <w:tblLook w:firstColumn="1" w:firstRow="1" w:lastColumn="0" w:lastRow="0" w:noHBand="0" w:noVBand="1" w:val="04A0"/>
      </w:tblPr>
      <w:tblGrid>
        <w:gridCol w:w="9866"/>
      </w:tblGrid>
      <w:tr>
        <w:tc>
          <w:tcPr>
            <w:tcW w:type="dxa" w:w="9866"/>
            <w:shd w:fill="EAF7F6"/>
            <w:tcBorders>
              <w:top w:sz="8" w:val="single" w:color="1F9E9A"/>
              <w:left w:sz="8" w:val="single" w:color="1F9E9A"/>
              <w:bottom w:sz="8" w:val="single" w:color="1F9E9A"/>
              <w:right w:sz="8" w:val="single" w:color="1F9E9A"/>
            </w:tcBorders>
          </w:tcPr>
          <w:p>
            <w:pPr>
              <w:spacing w:after="0"/>
            </w:pPr>
            <w:r>
              <w:rPr>
                <w:rFonts w:ascii="Noto Sans" w:hAnsi="Noto Sans"/>
                <w:sz w:val="21"/>
              </w:rPr>
              <w:t>Le modèle d'accord individuel n'a pas nécessairement à être présenté comme un document d'application de la charte puisqu'il correspond, dans le nouveau kit, au cas distinct où il n'existe ni accord collectif ni charte.</w:t>
            </w:r>
          </w:p>
        </w:tc>
      </w:tr>
    </w:tbl>
    <w:p>
      <w:pPr>
        <w:spacing w:after="20"/>
      </w:pPr>
    </w:p>
    <w:p>
      <w:pPr>
        <w:spacing w:before="40" w:after="80"/>
        <w:pBdr>
          <w:bottom w:val="single" w:sz="4" w:color="D7E2E6"/>
        </w:pBdr>
      </w:pPr>
    </w:p>
    <w:p>
      <w:pPr>
        <w:pStyle w:val="Heading1"/>
      </w:pPr>
      <w:r>
        <w:rPr>
          <w:rFonts w:ascii="Noto Sans" w:hAnsi="Noto Sans"/>
          <w:sz w:val="21"/>
        </w:rPr>
        <w:t>18. Calendrier de mise en oeuvre</w:t>
      </w:r>
    </w:p>
    <w:p>
      <w:pPr>
        <w:keepLines w:val="0"/>
      </w:pPr>
      <w:r>
        <w:rPr>
          <w:rFonts w:ascii="Noto Sans" w:hAnsi="Noto Sans"/>
          <w:b/>
          <w:color w:val="17324D"/>
          <w:sz w:val="21"/>
        </w:rPr>
        <w:t>Date de présentation au CSE :</w:t>
      </w:r>
    </w:p>
    <w:p>
      <w:pPr>
        <w:keepLines w:val="0"/>
      </w:pPr>
      <w:r>
        <w:rPr>
          <w:rFonts w:ascii="Noto Sans" w:hAnsi="Noto Sans"/>
          <w:b/>
          <w:color w:val="7A5A00"/>
          <w:sz w:val="20"/>
          <w:shd w:fill="FFF6D8"/>
        </w:rPr>
        <w:t>[date]</w:t>
      </w:r>
    </w:p>
    <w:p>
      <w:pPr>
        <w:keepLines w:val="0"/>
      </w:pPr>
      <w:r>
        <w:rPr>
          <w:rFonts w:ascii="Noto Sans" w:hAnsi="Noto Sans"/>
          <w:b/>
          <w:color w:val="17324D"/>
          <w:sz w:val="21"/>
        </w:rPr>
        <w:t>Date souhaitée pour l'avis :</w:t>
      </w:r>
    </w:p>
    <w:p>
      <w:pPr>
        <w:keepLines w:val="0"/>
      </w:pPr>
      <w:r>
        <w:rPr>
          <w:rFonts w:ascii="Noto Sans" w:hAnsi="Noto Sans"/>
          <w:b/>
          <w:color w:val="7A5A00"/>
          <w:sz w:val="20"/>
          <w:shd w:fill="FFF6D8"/>
        </w:rPr>
        <w:t>[date, selon les règles de consultation applicables]</w:t>
      </w:r>
    </w:p>
    <w:p>
      <w:pPr>
        <w:keepLines w:val="0"/>
      </w:pPr>
      <w:r>
        <w:rPr>
          <w:rFonts w:ascii="Noto Sans" w:hAnsi="Noto Sans"/>
          <w:b/>
          <w:color w:val="17324D"/>
          <w:sz w:val="21"/>
        </w:rPr>
        <w:t>Date prévisionnelle d'adoption de la charte ou de la décision :</w:t>
      </w:r>
    </w:p>
    <w:p>
      <w:pPr>
        <w:keepLines w:val="0"/>
      </w:pPr>
      <w:r>
        <w:rPr>
          <w:rFonts w:ascii="Noto Sans" w:hAnsi="Noto Sans"/>
          <w:b/>
          <w:color w:val="7A5A00"/>
          <w:sz w:val="20"/>
          <w:shd w:fill="FFF6D8"/>
        </w:rPr>
        <w:t>[date]</w:t>
      </w:r>
    </w:p>
    <w:p>
      <w:pPr>
        <w:keepLines w:val="0"/>
      </w:pPr>
      <w:r>
        <w:rPr>
          <w:rFonts w:ascii="Noto Sans" w:hAnsi="Noto Sans"/>
          <w:b/>
          <w:color w:val="17324D"/>
          <w:sz w:val="21"/>
        </w:rPr>
        <w:t>Date de communication aux salariés :</w:t>
      </w:r>
    </w:p>
    <w:p>
      <w:pPr>
        <w:keepLines w:val="0"/>
      </w:pPr>
      <w:r>
        <w:rPr>
          <w:rFonts w:ascii="Noto Sans" w:hAnsi="Noto Sans"/>
          <w:b/>
          <w:color w:val="7A5A00"/>
          <w:sz w:val="20"/>
          <w:shd w:fill="FFF6D8"/>
        </w:rPr>
        <w:t>[date]</w:t>
      </w:r>
    </w:p>
    <w:p>
      <w:pPr>
        <w:keepLines w:val="0"/>
      </w:pPr>
      <w:r>
        <w:rPr>
          <w:rFonts w:ascii="Noto Sans" w:hAnsi="Noto Sans"/>
          <w:b/>
          <w:color w:val="17324D"/>
          <w:sz w:val="21"/>
        </w:rPr>
        <w:t>Date prévisionnelle d'entrée en vigueur :</w:t>
      </w:r>
    </w:p>
    <w:p>
      <w:pPr>
        <w:keepLines w:val="0"/>
      </w:pPr>
      <w:r>
        <w:rPr>
          <w:rFonts w:ascii="Noto Sans" w:hAnsi="Noto Sans"/>
          <w:b/>
          <w:color w:val="7A5A00"/>
          <w:sz w:val="20"/>
          <w:shd w:fill="FFF6D8"/>
        </w:rPr>
        <w:t>[date]</w:t>
      </w:r>
    </w:p>
    <w:p>
      <w:pPr>
        <w:keepLines w:val="0"/>
      </w:pPr>
      <w:r>
        <w:rPr>
          <w:rFonts w:ascii="Noto Sans" w:hAnsi="Noto Sans"/>
          <w:sz w:val="21"/>
        </w:rPr>
        <w:t>La charte ne doit pas être adoptée comme document définitif avant que l'avis du CSE requis par l'article L. 1222-9 ait été recueilli lorsque le CSE existe.</w:t>
      </w:r>
    </w:p>
    <w:p>
      <w:pPr>
        <w:spacing w:before="40" w:after="80"/>
        <w:pBdr>
          <w:bottom w:val="single" w:sz="4" w:color="D7E2E6"/>
        </w:pBdr>
      </w:pPr>
    </w:p>
    <w:p>
      <w:pPr>
        <w:pStyle w:val="Heading1"/>
      </w:pPr>
      <w:r>
        <w:rPr>
          <w:rFonts w:ascii="Noto Sans" w:hAnsi="Noto Sans"/>
          <w:sz w:val="21"/>
        </w:rPr>
        <w:t>19. Questions soumises au CSE</w:t>
      </w:r>
    </w:p>
    <w:p>
      <w:pPr>
        <w:keepLines w:val="0"/>
      </w:pPr>
      <w:r>
        <w:rPr>
          <w:rFonts w:ascii="Noto Sans" w:hAnsi="Noto Sans"/>
          <w:sz w:val="21"/>
        </w:rPr>
        <w:t>Le CSE est notamment invité à formuler ses observations sur :</w:t>
      </w:r>
    </w:p>
    <w:p>
      <w:pPr>
        <w:pStyle w:val="ListNumber"/>
      </w:pPr>
      <w:r>
        <w:rPr>
          <w:rFonts w:ascii="Noto Sans" w:hAnsi="Noto Sans"/>
          <w:sz w:val="21"/>
        </w:rPr>
        <w:t>le périmètre et les critères d'éligibilité ;</w:t>
      </w:r>
    </w:p>
    <w:p>
      <w:pPr>
        <w:pStyle w:val="ListNumber"/>
      </w:pPr>
      <w:r>
        <w:rPr>
          <w:rFonts w:ascii="Noto Sans" w:hAnsi="Noto Sans"/>
          <w:sz w:val="21"/>
        </w:rPr>
        <w:t>la fréquence et l'organisation des jours ;</w:t>
      </w:r>
    </w:p>
    <w:p>
      <w:pPr>
        <w:pStyle w:val="ListNumber"/>
      </w:pPr>
      <w:r>
        <w:rPr>
          <w:rFonts w:ascii="Noto Sans" w:hAnsi="Noto Sans"/>
          <w:sz w:val="21"/>
        </w:rPr>
        <w:t>les plages de contact et le droit à la déconnexion ;</w:t>
      </w:r>
    </w:p>
    <w:p>
      <w:pPr>
        <w:pStyle w:val="ListNumber"/>
      </w:pPr>
      <w:r>
        <w:rPr>
          <w:rFonts w:ascii="Noto Sans" w:hAnsi="Noto Sans"/>
          <w:sz w:val="21"/>
        </w:rPr>
        <w:t>les modalités de suivi de la charge de travail ;</w:t>
      </w:r>
    </w:p>
    <w:p>
      <w:pPr>
        <w:pStyle w:val="ListNumber"/>
      </w:pPr>
      <w:r>
        <w:rPr>
          <w:rFonts w:ascii="Noto Sans" w:hAnsi="Noto Sans"/>
          <w:sz w:val="21"/>
        </w:rPr>
        <w:t>les équipements et l'assistance ;</w:t>
      </w:r>
    </w:p>
    <w:p>
      <w:pPr>
        <w:pStyle w:val="ListNumber"/>
      </w:pPr>
      <w:r>
        <w:rPr>
          <w:rFonts w:ascii="Noto Sans" w:hAnsi="Noto Sans"/>
          <w:sz w:val="21"/>
        </w:rPr>
        <w:t>les frais professionnels ;</w:t>
      </w:r>
    </w:p>
    <w:p>
      <w:pPr>
        <w:pStyle w:val="ListNumber"/>
      </w:pPr>
      <w:r>
        <w:rPr>
          <w:rFonts w:ascii="Noto Sans" w:hAnsi="Noto Sans"/>
          <w:sz w:val="21"/>
        </w:rPr>
        <w:t>les mesures de santé et de sécurité ;</w:t>
      </w:r>
    </w:p>
    <w:p>
      <w:pPr>
        <w:pStyle w:val="ListNumber"/>
      </w:pPr>
      <w:r>
        <w:rPr>
          <w:rFonts w:ascii="Noto Sans" w:hAnsi="Noto Sans"/>
          <w:sz w:val="21"/>
        </w:rPr>
        <w:t>la prévention de l'isolement ;</w:t>
      </w:r>
    </w:p>
    <w:p>
      <w:pPr>
        <w:pStyle w:val="ListNumber"/>
      </w:pPr>
      <w:r>
        <w:rPr>
          <w:rFonts w:ascii="Noto Sans" w:hAnsi="Noto Sans"/>
          <w:sz w:val="21"/>
        </w:rPr>
        <w:t>les modalités prévues pour les situations particulières ;</w:t>
      </w:r>
    </w:p>
    <w:p>
      <w:pPr>
        <w:pStyle w:val="ListNumber"/>
      </w:pPr>
      <w:r>
        <w:rPr>
          <w:rFonts w:ascii="Noto Sans" w:hAnsi="Noto Sans"/>
          <w:sz w:val="21"/>
        </w:rPr>
        <w:t>les incidences spécifiques sur les activités pédagogiques et administratives ;</w:t>
      </w:r>
    </w:p>
    <w:p>
      <w:pPr>
        <w:pStyle w:val="ListNumber"/>
      </w:pPr>
      <w:r>
        <w:rPr>
          <w:rFonts w:ascii="Noto Sans" w:hAnsi="Noto Sans"/>
          <w:sz w:val="21"/>
        </w:rPr>
        <w:t>les modalités de suivi du dispositif.</w:t>
      </w:r>
    </w:p>
    <w:p>
      <w:pPr>
        <w:keepLines w:val="0"/>
      </w:pPr>
      <w:r>
        <w:rPr>
          <w:rFonts w:ascii="Noto Sans" w:hAnsi="Noto Sans"/>
          <w:b/>
          <w:color w:val="17324D"/>
          <w:sz w:val="21"/>
        </w:rPr>
        <w:t>Autres questions propres au projet :</w:t>
      </w:r>
    </w:p>
    <w:p>
      <w:pPr>
        <w:keepLines w:val="0"/>
      </w:pPr>
      <w:r>
        <w:rPr>
          <w:rFonts w:ascii="Noto Sans" w:hAnsi="Noto Sans"/>
          <w:b/>
          <w:color w:val="7A5A00"/>
          <w:sz w:val="20"/>
          <w:shd w:fill="FFF6D8"/>
        </w:rPr>
        <w:t>[Zone à compléter]</w:t>
      </w:r>
    </w:p>
    <w:p>
      <w:pPr>
        <w:spacing w:before="40" w:after="80"/>
        <w:pBdr>
          <w:bottom w:val="single" w:sz="4" w:color="D7E2E6"/>
        </w:pBdr>
      </w:pPr>
    </w:p>
    <w:p>
      <w:pPr>
        <w:pStyle w:val="Heading1"/>
      </w:pPr>
      <w:r>
        <w:rPr>
          <w:rFonts w:ascii="Noto Sans" w:hAnsi="Noto Sans"/>
          <w:sz w:val="21"/>
        </w:rPr>
        <w:t>20. Avis du CSE</w:t>
      </w:r>
    </w:p>
    <w:p>
      <w:pPr>
        <w:keepLines w:val="0"/>
      </w:pPr>
      <w:r>
        <w:rPr>
          <w:rFonts w:ascii="Noto Sans" w:hAnsi="Noto Sans"/>
          <w:sz w:val="21"/>
        </w:rPr>
        <w:t>Après présentation du projet, communication des informations utiles et échanges avec l'employeur, l'avis du CSE est recueilli.</w:t>
      </w:r>
    </w:p>
    <w:p>
      <w:pPr>
        <w:keepLines w:val="0"/>
      </w:pPr>
      <w:r>
        <w:rPr>
          <w:rFonts w:ascii="Noto Sans" w:hAnsi="Noto Sans"/>
          <w:b/>
          <w:color w:val="17324D"/>
          <w:sz w:val="21"/>
        </w:rPr>
        <w:t>Avis :</w:t>
      </w:r>
    </w:p>
    <w:p>
      <w:pPr>
        <w:pStyle w:val="ListBullet"/>
        <w:ind w:left="283"/>
      </w:pPr>
      <w:r>
        <w:rPr>
          <w:rFonts w:ascii="Noto Sans" w:hAnsi="Noto Sans"/>
          <w:b/>
          <w:color w:val="1F9E9A"/>
          <w:sz w:val="21"/>
        </w:rPr>
        <w:t xml:space="preserve">☐ </w:t>
      </w:r>
      <w:r>
        <w:rPr>
          <w:rFonts w:ascii="Noto Sans" w:hAnsi="Noto Sans"/>
          <w:sz w:val="21"/>
        </w:rPr>
        <w:t>Favorable</w:t>
      </w:r>
    </w:p>
    <w:p>
      <w:pPr>
        <w:pStyle w:val="ListBullet"/>
        <w:ind w:left="283"/>
      </w:pPr>
      <w:r>
        <w:rPr>
          <w:rFonts w:ascii="Noto Sans" w:hAnsi="Noto Sans"/>
          <w:b/>
          <w:color w:val="1F9E9A"/>
          <w:sz w:val="21"/>
        </w:rPr>
        <w:t xml:space="preserve">☐ </w:t>
      </w:r>
      <w:r>
        <w:rPr>
          <w:rFonts w:ascii="Noto Sans" w:hAnsi="Noto Sans"/>
          <w:sz w:val="21"/>
        </w:rPr>
        <w:t>Favorable avec observations ou réserves</w:t>
      </w:r>
    </w:p>
    <w:p>
      <w:pPr>
        <w:pStyle w:val="ListBullet"/>
        <w:ind w:left="283"/>
      </w:pPr>
      <w:r>
        <w:rPr>
          <w:rFonts w:ascii="Noto Sans" w:hAnsi="Noto Sans"/>
          <w:b/>
          <w:color w:val="1F9E9A"/>
          <w:sz w:val="21"/>
        </w:rPr>
        <w:t xml:space="preserve">☐ </w:t>
      </w:r>
      <w:r>
        <w:rPr>
          <w:rFonts w:ascii="Noto Sans" w:hAnsi="Noto Sans"/>
          <w:sz w:val="21"/>
        </w:rPr>
        <w:t>Défavorable</w:t>
      </w:r>
    </w:p>
    <w:p>
      <w:pPr>
        <w:pStyle w:val="ListBullet"/>
        <w:ind w:left="283"/>
      </w:pPr>
      <w:r>
        <w:rPr>
          <w:rFonts w:ascii="Noto Sans" w:hAnsi="Noto Sans"/>
          <w:b/>
          <w:color w:val="1F9E9A"/>
          <w:sz w:val="21"/>
        </w:rPr>
        <w:t xml:space="preserve">☐ </w:t>
      </w:r>
      <w:r>
        <w:rPr>
          <w:rFonts w:ascii="Noto Sans" w:hAnsi="Noto Sans"/>
          <w:sz w:val="21"/>
        </w:rPr>
        <w:t xml:space="preserve">Autre formulation retenue par le CSE : </w:t>
      </w:r>
      <w:r>
        <w:rPr>
          <w:rFonts w:ascii="Noto Sans" w:hAnsi="Noto Sans"/>
          <w:b/>
          <w:color w:val="7A5A00"/>
          <w:sz w:val="20"/>
          <w:shd w:fill="FFF6D8"/>
        </w:rPr>
        <w:t>[à préciser]</w:t>
      </w:r>
    </w:p>
    <w:p>
      <w:pPr>
        <w:keepLines w:val="0"/>
      </w:pPr>
      <w:r>
        <w:rPr>
          <w:rFonts w:ascii="Noto Sans" w:hAnsi="Noto Sans"/>
          <w:b/>
          <w:color w:val="17324D"/>
          <w:sz w:val="21"/>
        </w:rPr>
        <w:t>Observations, réserves ou propositions du CSE :</w:t>
      </w:r>
    </w:p>
    <w:p>
      <w:pPr>
        <w:keepLines w:val="0"/>
      </w:pPr>
      <w:r>
        <w:rPr>
          <w:rFonts w:ascii="Noto Sans" w:hAnsi="Noto Sans"/>
          <w:b/>
          <w:color w:val="7A5A00"/>
          <w:sz w:val="20"/>
          <w:shd w:fill="FFF6D8"/>
        </w:rPr>
        <w:t>[Zone à compléter]</w:t>
      </w:r>
    </w:p>
    <w:p>
      <w:pPr>
        <w:keepLines w:val="0"/>
      </w:pPr>
      <w:r>
        <w:rPr>
          <w:rFonts w:ascii="Noto Sans" w:hAnsi="Noto Sans"/>
          <w:b/>
          <w:color w:val="17324D"/>
          <w:sz w:val="21"/>
        </w:rPr>
        <w:t>Réponses ou observations de l'employeur :</w:t>
      </w:r>
    </w:p>
    <w:p>
      <w:pPr>
        <w:keepLines w:val="0"/>
      </w:pPr>
      <w:r>
        <w:rPr>
          <w:rFonts w:ascii="Noto Sans" w:hAnsi="Noto Sans"/>
          <w:b/>
          <w:color w:val="7A5A00"/>
          <w:sz w:val="20"/>
          <w:shd w:fill="FFF6D8"/>
        </w:rPr>
        <w:t>[Zone à compléter]</w:t>
      </w:r>
    </w:p>
    <w:p>
      <w:pPr>
        <w:keepLines w:val="0"/>
      </w:pPr>
      <w:r>
        <w:rPr>
          <w:rFonts w:ascii="Noto Sans" w:hAnsi="Noto Sans"/>
          <w:sz w:val="21"/>
        </w:rPr>
        <w:t>L'avis et les échanges sont consignés dans le procès-verbal, le compte rendu ou tout support de traçabilité applicable au fonctionnement du CSE.</w:t>
      </w:r>
    </w:p>
    <w:p>
      <w:pPr>
        <w:spacing w:before="40" w:after="80"/>
        <w:pBdr>
          <w:bottom w:val="single" w:sz="4" w:color="D7E2E6"/>
        </w:pBdr>
      </w:pPr>
    </w:p>
    <w:p>
      <w:pPr>
        <w:pStyle w:val="Heading1"/>
      </w:pPr>
      <w:r>
        <w:rPr>
          <w:rFonts w:ascii="Noto Sans" w:hAnsi="Noto Sans"/>
          <w:sz w:val="21"/>
        </w:rPr>
        <w:t>21. Suivi du dispositif</w:t>
      </w:r>
    </w:p>
    <w:p>
      <w:pPr>
        <w:keepLines w:val="0"/>
      </w:pPr>
      <w:r>
        <w:rPr>
          <w:rFonts w:ascii="Noto Sans" w:hAnsi="Noto Sans"/>
          <w:sz w:val="21"/>
        </w:rPr>
        <w:t>L'entreprise définit les modalités de suivi adaptées à son organisation.</w:t>
      </w:r>
    </w:p>
    <w:p>
      <w:pPr>
        <w:keepLines w:val="0"/>
      </w:pPr>
      <w:r>
        <w:rPr>
          <w:rFonts w:ascii="Noto Sans" w:hAnsi="Noto Sans"/>
          <w:sz w:val="21"/>
        </w:rPr>
        <w:t>Peuvent notamment être suivis :</w:t>
      </w:r>
    </w:p>
    <w:p>
      <w:pPr>
        <w:pStyle w:val="ListBullet"/>
      </w:pPr>
      <w:r>
        <w:rPr>
          <w:rFonts w:ascii="Noto Sans" w:hAnsi="Noto Sans"/>
          <w:sz w:val="21"/>
        </w:rPr>
        <w:t>nombre de salariés en télétravail ;</w:t>
      </w:r>
    </w:p>
    <w:p>
      <w:pPr>
        <w:pStyle w:val="ListBullet"/>
      </w:pPr>
      <w:r>
        <w:rPr>
          <w:rFonts w:ascii="Noto Sans" w:hAnsi="Noto Sans"/>
          <w:sz w:val="21"/>
        </w:rPr>
        <w:t>demandes reçues ;</w:t>
      </w:r>
    </w:p>
    <w:p>
      <w:pPr>
        <w:pStyle w:val="ListBullet"/>
      </w:pPr>
      <w:r>
        <w:rPr>
          <w:rFonts w:ascii="Noto Sans" w:hAnsi="Noto Sans"/>
          <w:sz w:val="21"/>
        </w:rPr>
        <w:t>refus et motifs ;</w:t>
      </w:r>
    </w:p>
    <w:p>
      <w:pPr>
        <w:pStyle w:val="ListBullet"/>
      </w:pPr>
      <w:r>
        <w:rPr>
          <w:rFonts w:ascii="Noto Sans" w:hAnsi="Noto Sans"/>
          <w:sz w:val="21"/>
        </w:rPr>
        <w:t>fréquence moyenne ;</w:t>
      </w:r>
    </w:p>
    <w:p>
      <w:pPr>
        <w:pStyle w:val="ListBullet"/>
      </w:pPr>
      <w:r>
        <w:rPr>
          <w:rFonts w:ascii="Noto Sans" w:hAnsi="Noto Sans"/>
          <w:sz w:val="21"/>
        </w:rPr>
        <w:t>difficultés techniques ;</w:t>
      </w:r>
    </w:p>
    <w:p>
      <w:pPr>
        <w:pStyle w:val="ListBullet"/>
      </w:pPr>
      <w:r>
        <w:rPr>
          <w:rFonts w:ascii="Noto Sans" w:hAnsi="Noto Sans"/>
          <w:sz w:val="21"/>
        </w:rPr>
        <w:t>charge de travail ;</w:t>
      </w:r>
    </w:p>
    <w:p>
      <w:pPr>
        <w:pStyle w:val="ListBullet"/>
      </w:pPr>
      <w:r>
        <w:rPr>
          <w:rFonts w:ascii="Noto Sans" w:hAnsi="Noto Sans"/>
          <w:sz w:val="21"/>
        </w:rPr>
        <w:t>incidents de sécurité ;</w:t>
      </w:r>
    </w:p>
    <w:p>
      <w:pPr>
        <w:pStyle w:val="ListBullet"/>
      </w:pPr>
      <w:r>
        <w:rPr>
          <w:rFonts w:ascii="Noto Sans" w:hAnsi="Noto Sans"/>
          <w:sz w:val="21"/>
        </w:rPr>
        <w:t>situations d'isolement ;</w:t>
      </w:r>
    </w:p>
    <w:p>
      <w:pPr>
        <w:pStyle w:val="ListBullet"/>
      </w:pPr>
      <w:r>
        <w:rPr>
          <w:rFonts w:ascii="Noto Sans" w:hAnsi="Noto Sans"/>
          <w:sz w:val="21"/>
        </w:rPr>
        <w:t>besoins d'adaptation.</w:t>
      </w:r>
    </w:p>
    <w:p>
      <w:pPr>
        <w:pStyle w:val="Heading2"/>
      </w:pPr>
      <w:r>
        <w:rPr>
          <w:rFonts w:ascii="Noto Sans" w:hAnsi="Noto Sans"/>
          <w:sz w:val="21"/>
        </w:rPr>
        <w:t>Information annuelle conventionnelle dans les entreprises de plus de 50 salariés</w:t>
      </w:r>
    </w:p>
    <w:p>
      <w:pPr>
        <w:keepLines w:val="0"/>
      </w:pPr>
      <w:r>
        <w:rPr>
          <w:rFonts w:ascii="Noto Sans" w:hAnsi="Noto Sans"/>
          <w:sz w:val="21"/>
        </w:rPr>
        <w:t>Dans les entreprises de plus de 50 salariés, le CSE, lorsqu'il existe, est informé chaque année du nombre de demandes d'accès au télétravail formulées par les salariés et du nombre de demandes refusées au cours de l'année, conformément à l'accord de branche.</w:t>
      </w:r>
    </w:p>
    <w:p>
      <w:pPr>
        <w:keepLines w:val="0"/>
      </w:pPr>
      <w:r>
        <w:rPr>
          <w:rFonts w:ascii="Noto Sans" w:hAnsi="Noto Sans"/>
          <w:sz w:val="21"/>
        </w:rPr>
        <w:t>Pour les autres entreprises, un bilan périodique peut être organisé comme outil de suivi, sans le présenter comme cette obligation conventionnelle spécifique.</w:t>
      </w:r>
    </w:p>
    <w:p>
      <w:pPr>
        <w:spacing w:before="40" w:after="80"/>
        <w:pBdr>
          <w:bottom w:val="single" w:sz="4" w:color="D7E2E6"/>
        </w:pBdr>
      </w:pPr>
    </w:p>
    <w:p>
      <w:pPr>
        <w:pStyle w:val="Heading1"/>
      </w:pPr>
      <w:r>
        <w:rPr>
          <w:rFonts w:ascii="Noto Sans" w:hAnsi="Noto Sans"/>
          <w:sz w:val="21"/>
        </w:rPr>
        <w:t>Références juridiques principales</w:t>
      </w:r>
    </w:p>
    <w:p>
      <w:r>
        <w:rPr>
          <w:rFonts w:ascii="Noto Sans" w:hAnsi="Noto Sans"/>
          <w:sz w:val="21"/>
        </w:rPr>
        <w:t>Ce modèle est fondé sur les textes en vigueur vérifiés au 11 septembre 2026. Avant utilisation, vérifier l'absence d'évolution ultérieure et adapter le document à la situation de l'organisme.</w:t>
      </w:r>
    </w:p>
    <w:p>
      <w:pPr>
        <w:pStyle w:val="ListBullet"/>
      </w:pPr>
      <w:hyperlink r:id="rId11">
        <w:r>
          <w:rPr>
            <w:color w:val="1F9E9A"/>
            <w:u w:val="single"/>
            <w:rFonts w:ascii="Noto Sans" w:hAnsi="Noto Sans"/>
          </w:rPr>
          <w:t>Code du travail - article L. 1222-9</w:t>
        </w:r>
      </w:hyperlink>
    </w:p>
    <w:p>
      <w:pPr>
        <w:pStyle w:val="ListBullet"/>
      </w:pPr>
      <w:r>
        <w:t>Code du travail - article L. 2312-8 (pour les entreprises relevant de son champ d'application, notamment les entreprises d'au moins 50 salariés)</w:t>
      </w:r>
    </w:p>
    <w:p>
      <w:pPr>
        <w:pStyle w:val="ListBullet"/>
      </w:pPr>
      <w:hyperlink r:id="rId13">
        <w:r>
          <w:rPr>
            <w:color w:val="1F9E9A"/>
            <w:u w:val="single"/>
            <w:rFonts w:ascii="Noto Sans" w:hAnsi="Noto Sans"/>
          </w:rPr>
          <w:t>Accord du 11 septembre 2024 relatif au télétravail - IDCC 1516</w:t>
        </w:r>
      </w:hyperlink>
    </w:p>
    <w:sectPr w:rsidR="00FC693F" w:rsidRPr="0006063C" w:rsidSect="00034616">
      <w:headerReference w:type="default" r:id="rId9"/>
      <w:footerReference w:type="default" r:id="rId10"/>
      <w:pgSz w:w="11906" w:h="16838"/>
      <w:pgMar w:top="1020" w:right="1020" w:bottom="964" w:left="1020"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oto Sans" w:hAnsi="Noto Sans"/>
        <w:color w:val="5F6B76"/>
        <w:sz w:val="15"/>
      </w:rPr>
      <w:t xml:space="preserve">Modèle FormaSwift - IDCC 1516 - Vérification juridique 11/09/2026  |  Page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Bdr>
        <w:bottom w:val="single" w:sz="6" w:space="1" w:color="D7E2E6"/>
      </w:pBdr>
    </w:pPr>
    <w:r>
      <w:rPr>
        <w:rFonts w:ascii="Noto Sans" w:hAnsi="Noto Sans"/>
        <w:b/>
        <w:color w:val="5F6B76"/>
        <w:sz w:val="17"/>
      </w:rPr>
      <w:t>FormaSwift  |  Trame d'information-consultation CSE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Noto Sans" w:hAnsi="Noto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heme="majorHAnsi" w:eastAsiaTheme="majorEastAsia" w:hAnsiTheme="majorHAnsi" w:cstheme="majorBidi" w:ascii="Noto Sans" w:hAnsi="Noto Sans"/>
      <w:b/>
      <w:bCs/>
      <w:color w:val="1F9E9A"/>
      <w:sz w:val="30"/>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Noto Sans" w:hAnsi="Noto Sans"/>
      <w:b/>
      <w:bCs/>
      <w:color w:val="17324D"/>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ascii="Noto Sans" w:hAnsi="Noto Sans"/>
      <w:b/>
      <w:bCs/>
      <w:color w:val="17324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Noto Sans" w:hAnsi="Noto Sans"/>
      <w:b/>
      <w:color w:val="17324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40"/>
      <w:contextualSpacing/>
    </w:pPr>
    <w:rPr>
      <w:rFonts w:ascii="Noto Sans" w:hAnsi="Noto Sans"/>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40"/>
      <w:contextualSpacing/>
    </w:pPr>
    <w:rPr>
      <w:rFonts w:ascii="Noto Sans" w:hAnsi="Noto Sans"/>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www.legifrance.gouv.fr/codes/article_lc/LEGIARTI000047864720" TargetMode="External"/><Relationship Id="rId12" Type="http://schemas.openxmlformats.org/officeDocument/2006/relationships/hyperlink" Target="https://www.legifrance.gouv.fr/codes/article_lc/LEGIARTI000043975196" TargetMode="External"/><Relationship Id="rId13" Type="http://schemas.openxmlformats.org/officeDocument/2006/relationships/hyperlink" Target="https://www.legifrance.gouv.fr/conv_coll/id/KALITEXT000050792399/?idConteneur=KALICONT000005635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trame-cse-teletravail-idcc1516-v1.2</dc:title>
  <dc:subject>Télétravail - Organismes de formation - IDCC 1516</dc:subject>
  <dc:creator>FormaSwift</dc:creator>
  <cp:keywords>télétravail, IDCC 1516, organisme de formation, modèle</cp:keywords>
  <dc:description>generated by python-docx</dc:description>
  <cp:lastModifiedBy/>
  <cp:revision>1</cp:revision>
  <dcterms:created xsi:type="dcterms:W3CDTF">2013-12-23T23:15:00Z</dcterms:created>
  <dcterms:modified xsi:type="dcterms:W3CDTF">2013-12-23T23:15:00Z</dcterms:modified>
  <cp:category/>
</cp:coreProperties>
</file>